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421E0">
      <w:pPr>
        <w:pStyle w:val="2"/>
        <w:bidi w:val="0"/>
        <w:jc w:val="center"/>
        <w:rPr>
          <w:rFonts w:hint="eastAsia" w:ascii="方正小标宋简体" w:hAnsi="方正小标宋简体" w:eastAsia="方正小标宋简体" w:cs="方正小标宋简体"/>
          <w:b w:val="0"/>
          <w:bCs w:val="0"/>
          <w:sz w:val="44"/>
          <w:szCs w:val="44"/>
        </w:rPr>
      </w:pPr>
    </w:p>
    <w:p w14:paraId="2C943FAE">
      <w:pPr>
        <w:pStyle w:val="2"/>
        <w:bidi w:val="0"/>
        <w:jc w:val="center"/>
        <w:rPr>
          <w:rFonts w:hint="eastAsia" w:ascii="方正小标宋简体" w:hAnsi="方正小标宋简体" w:eastAsia="方正小标宋简体" w:cs="方正小标宋简体"/>
          <w:b w:val="0"/>
          <w:bCs w:val="0"/>
          <w:sz w:val="44"/>
          <w:szCs w:val="44"/>
        </w:rPr>
      </w:pPr>
      <w:bookmarkStart w:id="0" w:name="_GoBack"/>
      <w:bookmarkEnd w:id="0"/>
      <w:r>
        <w:rPr>
          <w:rFonts w:hint="eastAsia" w:ascii="方正小标宋简体" w:hAnsi="方正小标宋简体" w:eastAsia="方正小标宋简体" w:cs="方正小标宋简体"/>
          <w:b w:val="0"/>
          <w:bCs w:val="0"/>
          <w:sz w:val="44"/>
          <w:szCs w:val="44"/>
        </w:rPr>
        <w:t>兰州大学法学院</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院级优秀</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本科课程认证工作细则</w:t>
      </w:r>
    </w:p>
    <w:p w14:paraId="531E073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为深化本科教育教学综合改革，落实《深化新时代教育评价改革总体方案》《兰州大学本科教育教学“固本跃升”实施方案》及学院课程认证工作通知要求，引导全体教师牢固树立“学生中心、产出导向、持续改进”的教育理念，切实提升课堂教学质量与内涵建设水平，制定本细则。</w:t>
      </w:r>
    </w:p>
    <w:p w14:paraId="5C123CF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黑体" w:hAnsi="黑体" w:eastAsia="黑体" w:cs="黑体"/>
          <w:b w:val="0"/>
          <w:bCs w:val="0"/>
          <w:sz w:val="32"/>
          <w:szCs w:val="32"/>
          <w:lang w:val="en-US" w:eastAsia="zh-CN"/>
        </w:rPr>
        <w:t>一、认证目的</w:t>
      </w:r>
    </w:p>
    <w:p w14:paraId="1641A41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课程认证工作坚持“OBE导向、质量为先、动态管理、以评促建”的工作原则，以“淘汰水课、打造金课、固本跃升”为目标导向，构建覆盖全课程类型的院级合格课程、优秀课程和校级精品课程、卓越课程的两级四类金字塔形常态化课程认证体系，选树一批教学实绩突出、示范引领性强的优质课程，培育“育人为本、教学相长、精深提高、追求卓越”的课程教学质量文化。</w:t>
      </w:r>
    </w:p>
    <w:p w14:paraId="2393538C">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黑体" w:hAnsi="黑体" w:eastAsia="黑体" w:cs="黑体"/>
          <w:b w:val="0"/>
          <w:bCs w:val="0"/>
          <w:sz w:val="32"/>
          <w:szCs w:val="32"/>
          <w:lang w:val="en-US" w:eastAsia="zh-CN"/>
        </w:rPr>
        <w:t>二、认证范围</w:t>
      </w:r>
    </w:p>
    <w:p w14:paraId="4046C5F3">
      <w:pPr>
        <w:widowControl/>
        <w:shd w:val="clear" w:color="auto" w:fill="FFFFFF"/>
        <w:spacing w:line="540" w:lineRule="exact"/>
        <w:ind w:firstLine="640" w:firstLineChars="200"/>
        <w:rPr>
          <w:rFonts w:hint="eastAsia" w:ascii="楷体" w:hAnsi="楷体" w:eastAsia="楷体" w:cs="楷体"/>
          <w:kern w:val="0"/>
          <w:sz w:val="32"/>
          <w:szCs w:val="32"/>
          <w:lang w:val="en-US" w:eastAsia="zh-CN" w:bidi="ar"/>
        </w:rPr>
      </w:pPr>
      <w:r>
        <w:rPr>
          <w:rFonts w:hint="eastAsia" w:ascii="楷体" w:hAnsi="楷体" w:eastAsia="楷体" w:cs="楷体"/>
          <w:kern w:val="0"/>
          <w:sz w:val="32"/>
          <w:szCs w:val="32"/>
          <w:lang w:val="en-US" w:eastAsia="zh-CN" w:bidi="ar"/>
        </w:rPr>
        <w:t>（一）基本范围</w:t>
      </w:r>
    </w:p>
    <w:p w14:paraId="2E06D16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纳入法学院法学本科专业（含涉外法治创新班）人才培养方案、获得课程开课准入资格且具有规范课程号、计入学分的所有必修课和选修课均可参与认证。认证以课程号+课程负责人为对象进行。</w:t>
      </w:r>
    </w:p>
    <w:p w14:paraId="51BD3C6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跨学院共建课程由课程开课牵头单位负责组织申报，联合授课教师所在单位配合提供相关支撑材料。</w:t>
      </w:r>
    </w:p>
    <w:p w14:paraId="05875EC9">
      <w:pPr>
        <w:widowControl/>
        <w:shd w:val="clear" w:color="auto" w:fill="FFFFFF"/>
        <w:spacing w:line="540" w:lineRule="exact"/>
        <w:ind w:firstLine="640" w:firstLineChars="200"/>
        <w:rPr>
          <w:rFonts w:ascii="楷体" w:hAnsi="楷体" w:eastAsia="楷体" w:cs="楷体"/>
          <w:kern w:val="0"/>
          <w:sz w:val="32"/>
          <w:szCs w:val="32"/>
          <w:lang w:bidi="ar"/>
        </w:rPr>
      </w:pPr>
      <w:r>
        <w:rPr>
          <w:rFonts w:ascii="楷体" w:hAnsi="楷体" w:eastAsia="楷体" w:cs="楷体"/>
          <w:kern w:val="0"/>
          <w:sz w:val="32"/>
          <w:szCs w:val="32"/>
          <w:lang w:bidi="ar"/>
        </w:rPr>
        <w:t>（</w:t>
      </w:r>
      <w:r>
        <w:rPr>
          <w:rFonts w:hint="eastAsia" w:ascii="楷体" w:hAnsi="楷体" w:eastAsia="楷体" w:cs="楷体"/>
          <w:kern w:val="0"/>
          <w:sz w:val="32"/>
          <w:szCs w:val="32"/>
          <w:lang w:bidi="ar"/>
        </w:rPr>
        <w:t>二</w:t>
      </w:r>
      <w:r>
        <w:rPr>
          <w:rFonts w:ascii="楷体" w:hAnsi="楷体" w:eastAsia="楷体" w:cs="楷体"/>
          <w:kern w:val="0"/>
          <w:sz w:val="32"/>
          <w:szCs w:val="32"/>
          <w:lang w:bidi="ar"/>
        </w:rPr>
        <w:t>）限制申报情形</w:t>
      </w:r>
    </w:p>
    <w:p w14:paraId="7E5DE254">
      <w:pPr>
        <w:widowControl/>
        <w:spacing w:beforeAutospacing="0" w:afterAutospacing="0" w:line="540" w:lineRule="exact"/>
        <w:ind w:firstLine="640" w:firstLineChars="200"/>
        <w:jc w:val="both"/>
        <w:textAlignment w:val="center"/>
        <w:rPr>
          <w:rFonts w:ascii="仿宋_GB2312" w:hAnsi="仿宋_GB2312" w:eastAsia="仿宋_GB2312" w:cs="仿宋_GB2312"/>
          <w:kern w:val="0"/>
          <w:sz w:val="32"/>
          <w:szCs w:val="32"/>
          <w:lang w:val="en-US" w:eastAsia="zh-CN" w:bidi="ar-SA"/>
        </w:rPr>
      </w:pPr>
      <w:r>
        <w:rPr>
          <w:rFonts w:ascii="仿宋_GB2312" w:hAnsi="仿宋_GB2312" w:eastAsia="仿宋_GB2312" w:cs="仿宋_GB2312"/>
          <w:kern w:val="0"/>
          <w:sz w:val="32"/>
          <w:szCs w:val="32"/>
          <w:lang w:val="en-US" w:eastAsia="zh-CN" w:bidi="ar-SA"/>
        </w:rPr>
        <w:t>课程负责人</w:t>
      </w:r>
      <w:r>
        <w:rPr>
          <w:rFonts w:hint="eastAsia" w:ascii="仿宋_GB2312" w:hAnsi="仿宋_GB2312" w:eastAsia="仿宋_GB2312" w:cs="仿宋_GB2312"/>
          <w:kern w:val="0"/>
          <w:sz w:val="32"/>
          <w:szCs w:val="32"/>
          <w:lang w:val="en-US" w:eastAsia="zh-CN" w:bidi="ar-SA"/>
        </w:rPr>
        <w:t>存在以下情形之一的，不得</w:t>
      </w:r>
      <w:r>
        <w:rPr>
          <w:rFonts w:ascii="仿宋_GB2312" w:hAnsi="仿宋_GB2312" w:eastAsia="仿宋_GB2312" w:cs="仿宋_GB2312"/>
          <w:kern w:val="0"/>
          <w:sz w:val="32"/>
          <w:szCs w:val="32"/>
          <w:lang w:val="en-US" w:eastAsia="zh-CN" w:bidi="ar-SA"/>
        </w:rPr>
        <w:t>申报</w:t>
      </w:r>
      <w:r>
        <w:rPr>
          <w:rFonts w:hint="eastAsia" w:ascii="仿宋_GB2312" w:hAnsi="仿宋_GB2312" w:eastAsia="仿宋_GB2312" w:cs="仿宋_GB2312"/>
          <w:kern w:val="0"/>
          <w:sz w:val="32"/>
          <w:szCs w:val="32"/>
          <w:lang w:val="en-US" w:eastAsia="zh-CN" w:bidi="ar-SA"/>
        </w:rPr>
        <w:t>院级</w:t>
      </w:r>
      <w:r>
        <w:rPr>
          <w:rFonts w:ascii="仿宋_GB2312" w:hAnsi="仿宋_GB2312" w:eastAsia="仿宋_GB2312" w:cs="仿宋_GB2312"/>
          <w:kern w:val="0"/>
          <w:sz w:val="32"/>
          <w:szCs w:val="32"/>
          <w:lang w:val="en-US" w:eastAsia="zh-CN" w:bidi="ar-SA"/>
        </w:rPr>
        <w:t>优秀及以上等级认证</w:t>
      </w:r>
      <w:r>
        <w:rPr>
          <w:rFonts w:hint="eastAsia" w:ascii="仿宋_GB2312" w:hAnsi="仿宋_GB2312" w:eastAsia="仿宋_GB2312" w:cs="仿宋_GB2312"/>
          <w:kern w:val="0"/>
          <w:sz w:val="32"/>
          <w:szCs w:val="32"/>
          <w:lang w:val="en-US" w:eastAsia="zh-CN" w:bidi="ar-SA"/>
        </w:rPr>
        <w:t>：</w:t>
      </w:r>
    </w:p>
    <w:p w14:paraId="673945F1">
      <w:pPr>
        <w:widowControl/>
        <w:spacing w:beforeAutospacing="0" w:afterAutospacing="0" w:line="540" w:lineRule="exact"/>
        <w:ind w:firstLine="640" w:firstLineChars="200"/>
        <w:jc w:val="both"/>
        <w:textAlignment w:val="center"/>
        <w:rPr>
          <w:rFonts w:ascii="仿宋_GB2312" w:hAnsi="仿宋_GB2312" w:eastAsia="仿宋_GB2312" w:cs="仿宋_GB2312"/>
          <w:kern w:val="0"/>
          <w:sz w:val="32"/>
          <w:szCs w:val="32"/>
          <w:lang w:val="en-US" w:eastAsia="zh-CN" w:bidi="ar-SA"/>
        </w:rPr>
      </w:pPr>
      <w:r>
        <w:rPr>
          <w:rFonts w:ascii="仿宋_GB2312" w:hAnsi="仿宋_GB2312" w:eastAsia="仿宋_GB2312" w:cs="仿宋_GB2312"/>
          <w:kern w:val="0"/>
          <w:sz w:val="32"/>
          <w:szCs w:val="32"/>
          <w:lang w:val="en-US" w:eastAsia="zh-CN" w:bidi="ar-SA"/>
        </w:rPr>
        <w:t>1.近3年</w:t>
      </w:r>
      <w:r>
        <w:rPr>
          <w:rFonts w:hint="eastAsia" w:ascii="仿宋_GB2312" w:hAnsi="仿宋_GB2312" w:eastAsia="仿宋_GB2312" w:cs="仿宋_GB2312"/>
          <w:kern w:val="0"/>
          <w:sz w:val="32"/>
          <w:szCs w:val="32"/>
          <w:lang w:val="en-US" w:eastAsia="zh-CN" w:bidi="ar-SA"/>
        </w:rPr>
        <w:t>存在师德失范行为或学风问题；</w:t>
      </w:r>
    </w:p>
    <w:p w14:paraId="4135ABDD">
      <w:pPr>
        <w:widowControl/>
        <w:spacing w:beforeAutospacing="0" w:afterAutospacing="0" w:line="540" w:lineRule="exact"/>
        <w:ind w:firstLine="640" w:firstLineChars="200"/>
        <w:jc w:val="both"/>
        <w:textAlignment w:val="center"/>
        <w:rPr>
          <w:rFonts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2</w:t>
      </w:r>
      <w:r>
        <w:rPr>
          <w:rFonts w:ascii="仿宋_GB2312" w:hAnsi="仿宋_GB2312" w:eastAsia="仿宋_GB2312" w:cs="仿宋_GB2312"/>
          <w:kern w:val="0"/>
          <w:sz w:val="32"/>
          <w:szCs w:val="32"/>
          <w:lang w:val="en-US" w:eastAsia="zh-CN" w:bidi="ar-SA"/>
        </w:rPr>
        <w:t>.</w:t>
      </w:r>
      <w:r>
        <w:rPr>
          <w:rFonts w:hint="eastAsia" w:ascii="仿宋_GB2312" w:hAnsi="仿宋_GB2312" w:eastAsia="仿宋_GB2312" w:cs="仿宋_GB2312"/>
          <w:kern w:val="0"/>
          <w:sz w:val="32"/>
          <w:szCs w:val="32"/>
          <w:lang w:val="en-US" w:eastAsia="zh-CN" w:bidi="ar-SA"/>
        </w:rPr>
        <w:t>近1年</w:t>
      </w:r>
      <w:r>
        <w:rPr>
          <w:rFonts w:ascii="仿宋_GB2312" w:hAnsi="仿宋_GB2312" w:eastAsia="仿宋_GB2312" w:cs="仿宋_GB2312"/>
          <w:kern w:val="0"/>
          <w:sz w:val="32"/>
          <w:szCs w:val="32"/>
          <w:lang w:val="en-US" w:eastAsia="zh-CN" w:bidi="ar-SA"/>
        </w:rPr>
        <w:t>出现</w:t>
      </w:r>
      <w:r>
        <w:rPr>
          <w:rFonts w:hint="eastAsia" w:ascii="仿宋_GB2312" w:hAnsi="仿宋_GB2312" w:eastAsia="仿宋_GB2312" w:cs="仿宋_GB2312"/>
          <w:kern w:val="0"/>
          <w:sz w:val="32"/>
          <w:szCs w:val="32"/>
          <w:lang w:val="en-US" w:eastAsia="zh-CN" w:bidi="ar-SA"/>
        </w:rPr>
        <w:t>过二级及以上</w:t>
      </w:r>
      <w:r>
        <w:rPr>
          <w:rFonts w:ascii="仿宋_GB2312" w:hAnsi="仿宋_GB2312" w:eastAsia="仿宋_GB2312" w:cs="仿宋_GB2312"/>
          <w:kern w:val="0"/>
          <w:sz w:val="32"/>
          <w:szCs w:val="32"/>
          <w:lang w:val="en-US" w:eastAsia="zh-CN" w:bidi="ar-SA"/>
        </w:rPr>
        <w:t>教学事故</w:t>
      </w:r>
      <w:r>
        <w:rPr>
          <w:rFonts w:hint="eastAsia" w:ascii="仿宋_GB2312" w:hAnsi="仿宋_GB2312" w:eastAsia="仿宋_GB2312" w:cs="仿宋_GB2312"/>
          <w:kern w:val="0"/>
          <w:sz w:val="32"/>
          <w:szCs w:val="32"/>
          <w:lang w:val="en-US" w:eastAsia="zh-CN" w:bidi="ar-SA"/>
        </w:rPr>
        <w:t>；</w:t>
      </w:r>
    </w:p>
    <w:p w14:paraId="09A91361">
      <w:pPr>
        <w:widowControl/>
        <w:spacing w:beforeAutospacing="0" w:afterAutospacing="0" w:line="540" w:lineRule="exact"/>
        <w:ind w:firstLine="640" w:firstLineChars="200"/>
        <w:jc w:val="both"/>
        <w:textAlignment w:val="center"/>
        <w:rPr>
          <w:rFonts w:ascii="仿宋_GB2312" w:hAnsi="仿宋_GB2312" w:eastAsia="仿宋_GB2312" w:cs="仿宋_GB2312"/>
          <w:kern w:val="0"/>
          <w:sz w:val="32"/>
          <w:szCs w:val="32"/>
          <w:lang w:val="en-US" w:eastAsia="zh-CN" w:bidi="ar-SA"/>
        </w:rPr>
      </w:pPr>
      <w:r>
        <w:rPr>
          <w:rFonts w:ascii="仿宋_GB2312" w:hAnsi="仿宋_GB2312" w:eastAsia="仿宋_GB2312" w:cs="仿宋_GB2312"/>
          <w:kern w:val="0"/>
          <w:sz w:val="32"/>
          <w:szCs w:val="32"/>
          <w:lang w:val="en-US" w:eastAsia="zh-CN" w:bidi="ar-SA"/>
        </w:rPr>
        <w:t>3.近2年学生评教排名</w:t>
      </w:r>
      <w:r>
        <w:rPr>
          <w:rFonts w:hint="eastAsia" w:ascii="仿宋_GB2312" w:hAnsi="仿宋_GB2312" w:eastAsia="仿宋_GB2312" w:cs="仿宋_GB2312"/>
          <w:kern w:val="0"/>
          <w:sz w:val="32"/>
          <w:szCs w:val="32"/>
          <w:lang w:val="en-US" w:eastAsia="zh-CN" w:bidi="ar-SA"/>
        </w:rPr>
        <w:t>有2次</w:t>
      </w:r>
      <w:r>
        <w:rPr>
          <w:rFonts w:ascii="仿宋_GB2312" w:hAnsi="仿宋_GB2312" w:eastAsia="仿宋_GB2312" w:cs="仿宋_GB2312"/>
          <w:kern w:val="0"/>
          <w:sz w:val="32"/>
          <w:szCs w:val="32"/>
          <w:lang w:val="en-US" w:eastAsia="zh-CN" w:bidi="ar-SA"/>
        </w:rPr>
        <w:t>位于所在教学单位后</w:t>
      </w:r>
      <w:r>
        <w:rPr>
          <w:rFonts w:hint="eastAsia" w:ascii="仿宋_GB2312" w:hAnsi="仿宋_GB2312" w:eastAsia="仿宋_GB2312" w:cs="仿宋_GB2312"/>
          <w:kern w:val="0"/>
          <w:sz w:val="32"/>
          <w:szCs w:val="32"/>
          <w:lang w:val="en-US" w:eastAsia="zh-CN" w:bidi="ar-SA"/>
        </w:rPr>
        <w:t>3</w:t>
      </w:r>
      <w:r>
        <w:rPr>
          <w:rFonts w:ascii="仿宋_GB2312" w:hAnsi="仿宋_GB2312" w:eastAsia="仿宋_GB2312" w:cs="仿宋_GB2312"/>
          <w:kern w:val="0"/>
          <w:sz w:val="32"/>
          <w:szCs w:val="32"/>
          <w:lang w:val="en-US" w:eastAsia="zh-CN" w:bidi="ar-SA"/>
        </w:rPr>
        <w:t>0%</w:t>
      </w:r>
      <w:r>
        <w:rPr>
          <w:rFonts w:hint="eastAsia" w:ascii="仿宋_GB2312" w:hAnsi="仿宋_GB2312" w:eastAsia="仿宋_GB2312" w:cs="仿宋_GB2312"/>
          <w:kern w:val="0"/>
          <w:sz w:val="32"/>
          <w:szCs w:val="32"/>
          <w:lang w:val="en-US" w:eastAsia="zh-CN" w:bidi="ar-SA"/>
        </w:rPr>
        <w:t>；</w:t>
      </w:r>
    </w:p>
    <w:p w14:paraId="34AD5BBF">
      <w:pPr>
        <w:widowControl/>
        <w:spacing w:beforeAutospacing="0" w:afterAutospacing="0" w:line="540" w:lineRule="exact"/>
        <w:ind w:firstLine="640" w:firstLineChars="200"/>
        <w:jc w:val="both"/>
        <w:textAlignment w:val="center"/>
        <w:rPr>
          <w:rFonts w:hint="eastAsia" w:ascii="仿宋_GB2312" w:hAnsi="仿宋_GB2312" w:eastAsia="仿宋_GB2312" w:cs="仿宋_GB2312"/>
          <w:kern w:val="0"/>
          <w:sz w:val="32"/>
          <w:szCs w:val="32"/>
          <w:lang w:val="en-US" w:eastAsia="zh-CN" w:bidi="ar"/>
        </w:rPr>
      </w:pPr>
      <w:r>
        <w:rPr>
          <w:rFonts w:ascii="仿宋_GB2312" w:hAnsi="仿宋_GB2312" w:eastAsia="仿宋_GB2312" w:cs="仿宋_GB2312"/>
          <w:kern w:val="0"/>
          <w:sz w:val="32"/>
          <w:szCs w:val="32"/>
          <w:lang w:val="en-US" w:eastAsia="zh-CN" w:bidi="ar-SA"/>
        </w:rPr>
        <w:t>4.近2年</w:t>
      </w:r>
      <w:r>
        <w:rPr>
          <w:rFonts w:hint="eastAsia" w:ascii="仿宋_GB2312" w:hAnsi="仿宋_GB2312" w:eastAsia="仿宋_GB2312" w:cs="仿宋_GB2312"/>
          <w:kern w:val="0"/>
          <w:sz w:val="32"/>
          <w:szCs w:val="32"/>
          <w:lang w:val="en-US" w:eastAsia="zh-CN" w:bidi="ar-SA"/>
        </w:rPr>
        <w:t>校级教学顾问听评课结果有D或E的情况。</w:t>
      </w:r>
    </w:p>
    <w:p w14:paraId="64C256F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三、认证标准</w:t>
      </w:r>
    </w:p>
    <w:p w14:paraId="411B423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认证工作坚持定性与定量结合，共设置3项基本标准和3项参考标准。其中，基本标准必须达到，任一基本标准未达标者，一票否决；参考标准得分或评议较高者，予以优先推荐。同时须结合随堂听课、师生访谈等核实课程实际质量。</w:t>
      </w:r>
    </w:p>
    <w:p w14:paraId="167EF6DB">
      <w:pPr>
        <w:pStyle w:val="4"/>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（一）基本标准</w:t>
      </w:r>
    </w:p>
    <w:p w14:paraId="7FA29E54">
      <w:pPr>
        <w:pStyle w:val="5"/>
        <w:pageBreakBefore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1.教学投入要求</w:t>
      </w:r>
    </w:p>
    <w:p w14:paraId="09AF624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申请“院级优秀”认证的课程须经过至少2个学期或2个教学周期的建设和完善；课程负责人授课课时占比不低于总课时的1/2。</w:t>
      </w:r>
    </w:p>
    <w:p w14:paraId="638DAE1C">
      <w:pPr>
        <w:pStyle w:val="5"/>
        <w:pageBreakBefore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2.课程内涵要求</w:t>
      </w:r>
    </w:p>
    <w:p w14:paraId="129C155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在课程认证之前完成课程“六件套”建设，即申报课程须具备“选编了一本好教材、撰写了一本好教案/讲义、制作了一套好课件”的基本要求，已完成课程思政案例库、涵盖课程知识点的数字化资源库（含题库）和学科前沿知识库的基本建设工作。具体要求如下：</w:t>
      </w:r>
    </w:p>
    <w:tbl>
      <w:tblPr>
        <w:tblStyle w:val="9"/>
        <w:tblW w:w="8522" w:type="dxa"/>
        <w:jc w:val="center"/>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17"/>
        <w:gridCol w:w="2506"/>
        <w:gridCol w:w="5299"/>
      </w:tblGrid>
      <w:tr w14:paraId="1FD40C3A">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717" w:type="dxa"/>
            <w:tcBorders>
              <w:top w:val="single" w:color="auto" w:sz="12" w:space="0"/>
              <w:left w:val="nil"/>
              <w:bottom w:val="nil"/>
              <w:right w:val="nil"/>
            </w:tcBorders>
            <w:shd w:val="clear" w:color="auto" w:fill="auto"/>
            <w:noWrap w:val="0"/>
            <w:tcMar>
              <w:top w:w="161" w:type="dxa"/>
              <w:left w:w="-1" w:type="dxa"/>
              <w:bottom w:w="161" w:type="dxa"/>
              <w:right w:w="193" w:type="dxa"/>
            </w:tcMar>
            <w:vAlign w:val="center"/>
          </w:tcPr>
          <w:p w14:paraId="6B58C3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b/>
                <w:bCs/>
                <w:sz w:val="24"/>
                <w:szCs w:val="24"/>
                <w:highlight w:val="none"/>
              </w:rPr>
            </w:pPr>
            <w:r>
              <w:rPr>
                <w:rFonts w:hint="eastAsia" w:ascii="黑体" w:hAnsi="黑体" w:eastAsia="黑体" w:cs="黑体"/>
                <w:b/>
                <w:bCs/>
                <w:kern w:val="0"/>
                <w:sz w:val="24"/>
                <w:szCs w:val="24"/>
                <w:highlight w:val="none"/>
                <w:lang w:val="en-US" w:eastAsia="zh-CN" w:bidi="ar"/>
              </w:rPr>
              <w:t>序号</w:t>
            </w:r>
          </w:p>
        </w:tc>
        <w:tc>
          <w:tcPr>
            <w:tcW w:w="2506" w:type="dxa"/>
            <w:tcBorders>
              <w:top w:val="single" w:color="auto" w:sz="12" w:space="0"/>
              <w:left w:val="nil"/>
              <w:bottom w:val="nil"/>
              <w:right w:val="nil"/>
            </w:tcBorders>
            <w:shd w:val="clear" w:color="auto" w:fill="auto"/>
            <w:noWrap w:val="0"/>
            <w:tcMar>
              <w:top w:w="161" w:type="dxa"/>
              <w:left w:w="-1" w:type="dxa"/>
              <w:bottom w:w="161" w:type="dxa"/>
              <w:right w:w="193" w:type="dxa"/>
            </w:tcMar>
            <w:vAlign w:val="center"/>
          </w:tcPr>
          <w:p w14:paraId="5B8610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b/>
                <w:bCs/>
                <w:sz w:val="24"/>
                <w:szCs w:val="24"/>
                <w:highlight w:val="none"/>
              </w:rPr>
            </w:pPr>
            <w:r>
              <w:rPr>
                <w:rFonts w:hint="eastAsia" w:ascii="黑体" w:hAnsi="黑体" w:eastAsia="黑体" w:cs="黑体"/>
                <w:b/>
                <w:bCs/>
                <w:kern w:val="0"/>
                <w:sz w:val="24"/>
                <w:szCs w:val="24"/>
                <w:highlight w:val="none"/>
                <w:lang w:val="en-US" w:eastAsia="zh-CN" w:bidi="ar"/>
              </w:rPr>
              <w:t>建设内容</w:t>
            </w:r>
          </w:p>
        </w:tc>
        <w:tc>
          <w:tcPr>
            <w:tcW w:w="5299" w:type="dxa"/>
            <w:tcBorders>
              <w:top w:val="single" w:color="auto" w:sz="12" w:space="0"/>
              <w:left w:val="nil"/>
              <w:bottom w:val="nil"/>
              <w:right w:val="nil"/>
            </w:tcBorders>
            <w:shd w:val="clear" w:color="auto" w:fill="auto"/>
            <w:noWrap w:val="0"/>
            <w:tcMar>
              <w:top w:w="161" w:type="dxa"/>
              <w:left w:w="-1" w:type="dxa"/>
              <w:bottom w:w="161" w:type="dxa"/>
              <w:right w:w="193" w:type="dxa"/>
            </w:tcMar>
            <w:vAlign w:val="center"/>
          </w:tcPr>
          <w:p w14:paraId="5DFCFF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b/>
                <w:bCs/>
                <w:sz w:val="24"/>
                <w:szCs w:val="24"/>
                <w:highlight w:val="none"/>
              </w:rPr>
            </w:pPr>
            <w:r>
              <w:rPr>
                <w:rFonts w:hint="eastAsia" w:ascii="黑体" w:hAnsi="黑体" w:eastAsia="黑体" w:cs="黑体"/>
                <w:b/>
                <w:bCs/>
                <w:kern w:val="0"/>
                <w:sz w:val="24"/>
                <w:szCs w:val="24"/>
                <w:highlight w:val="none"/>
                <w:lang w:val="en-US" w:eastAsia="zh-CN" w:bidi="ar"/>
              </w:rPr>
              <w:t>佐证要求</w:t>
            </w:r>
          </w:p>
        </w:tc>
      </w:tr>
      <w:tr w14:paraId="3D6100A1">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17" w:type="dxa"/>
            <w:tcBorders>
              <w:top w:val="single" w:color="auto" w:sz="4" w:space="0"/>
              <w:left w:val="nil"/>
              <w:bottom w:val="nil"/>
              <w:right w:val="nil"/>
            </w:tcBorders>
            <w:shd w:val="clear" w:color="auto" w:fill="auto"/>
            <w:noWrap w:val="0"/>
            <w:tcMar>
              <w:top w:w="161" w:type="dxa"/>
              <w:left w:w="-1" w:type="dxa"/>
              <w:bottom w:w="161" w:type="dxa"/>
              <w:right w:w="193" w:type="dxa"/>
            </w:tcMar>
            <w:vAlign w:val="center"/>
          </w:tcPr>
          <w:p w14:paraId="3B435A6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1</w:t>
            </w:r>
          </w:p>
        </w:tc>
        <w:tc>
          <w:tcPr>
            <w:tcW w:w="2506" w:type="dxa"/>
            <w:tcBorders>
              <w:top w:val="single" w:color="auto" w:sz="4" w:space="0"/>
              <w:left w:val="nil"/>
              <w:bottom w:val="nil"/>
              <w:right w:val="nil"/>
            </w:tcBorders>
            <w:shd w:val="clear" w:color="auto" w:fill="auto"/>
            <w:noWrap w:val="0"/>
            <w:tcMar>
              <w:top w:w="161" w:type="dxa"/>
              <w:left w:w="-1" w:type="dxa"/>
              <w:bottom w:w="161" w:type="dxa"/>
              <w:right w:w="193" w:type="dxa"/>
            </w:tcMar>
            <w:vAlign w:val="center"/>
          </w:tcPr>
          <w:p w14:paraId="1A09367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选编一本好教材</w:t>
            </w:r>
          </w:p>
        </w:tc>
        <w:tc>
          <w:tcPr>
            <w:tcW w:w="5299" w:type="dxa"/>
            <w:tcBorders>
              <w:top w:val="single" w:color="auto" w:sz="4" w:space="0"/>
              <w:left w:val="nil"/>
              <w:bottom w:val="nil"/>
              <w:right w:val="nil"/>
            </w:tcBorders>
            <w:shd w:val="clear" w:color="auto" w:fill="auto"/>
            <w:noWrap w:val="0"/>
            <w:tcMar>
              <w:top w:w="161" w:type="dxa"/>
              <w:left w:w="-1" w:type="dxa"/>
              <w:bottom w:w="161" w:type="dxa"/>
              <w:right w:w="193" w:type="dxa"/>
            </w:tcMar>
            <w:vAlign w:val="center"/>
          </w:tcPr>
          <w:p w14:paraId="5A620E8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教材选用说明、编著教材说明</w:t>
            </w:r>
          </w:p>
        </w:tc>
      </w:tr>
      <w:tr w14:paraId="6CCA892A">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17" w:type="dxa"/>
            <w:tcBorders>
              <w:top w:val="nil"/>
              <w:left w:val="nil"/>
              <w:bottom w:val="nil"/>
              <w:right w:val="nil"/>
            </w:tcBorders>
            <w:shd w:val="clear" w:color="auto" w:fill="auto"/>
            <w:noWrap w:val="0"/>
            <w:tcMar>
              <w:top w:w="161" w:type="dxa"/>
              <w:left w:w="-1" w:type="dxa"/>
              <w:bottom w:w="161" w:type="dxa"/>
              <w:right w:w="193" w:type="dxa"/>
            </w:tcMar>
            <w:vAlign w:val="center"/>
          </w:tcPr>
          <w:p w14:paraId="3449D20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2</w:t>
            </w:r>
          </w:p>
        </w:tc>
        <w:tc>
          <w:tcPr>
            <w:tcW w:w="2506" w:type="dxa"/>
            <w:tcBorders>
              <w:top w:val="nil"/>
              <w:left w:val="nil"/>
              <w:bottom w:val="nil"/>
              <w:right w:val="nil"/>
            </w:tcBorders>
            <w:shd w:val="clear" w:color="auto" w:fill="auto"/>
            <w:noWrap w:val="0"/>
            <w:tcMar>
              <w:top w:w="161" w:type="dxa"/>
              <w:left w:w="-1" w:type="dxa"/>
              <w:bottom w:w="161" w:type="dxa"/>
              <w:right w:w="193" w:type="dxa"/>
            </w:tcMar>
            <w:vAlign w:val="center"/>
          </w:tcPr>
          <w:p w14:paraId="3801439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撰写一本好教案/讲义</w:t>
            </w:r>
          </w:p>
        </w:tc>
        <w:tc>
          <w:tcPr>
            <w:tcW w:w="5299" w:type="dxa"/>
            <w:tcBorders>
              <w:top w:val="nil"/>
              <w:left w:val="nil"/>
              <w:bottom w:val="nil"/>
              <w:right w:val="nil"/>
            </w:tcBorders>
            <w:shd w:val="clear" w:color="auto" w:fill="auto"/>
            <w:noWrap w:val="0"/>
            <w:tcMar>
              <w:top w:w="161" w:type="dxa"/>
              <w:left w:w="-1" w:type="dxa"/>
              <w:bottom w:w="161" w:type="dxa"/>
              <w:right w:w="193" w:type="dxa"/>
            </w:tcMar>
            <w:vAlign w:val="center"/>
          </w:tcPr>
          <w:p w14:paraId="4F3D8DE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课程教案或讲义定稿，包含教学目标、教学设计、重难点</w:t>
            </w:r>
          </w:p>
        </w:tc>
      </w:tr>
      <w:tr w14:paraId="2BDB68E8">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717" w:type="dxa"/>
            <w:tcBorders>
              <w:top w:val="nil"/>
              <w:left w:val="nil"/>
              <w:bottom w:val="nil"/>
              <w:right w:val="nil"/>
            </w:tcBorders>
            <w:shd w:val="clear" w:color="auto" w:fill="auto"/>
            <w:noWrap w:val="0"/>
            <w:tcMar>
              <w:top w:w="161" w:type="dxa"/>
              <w:left w:w="-1" w:type="dxa"/>
              <w:bottom w:w="161" w:type="dxa"/>
              <w:right w:w="193" w:type="dxa"/>
            </w:tcMar>
            <w:vAlign w:val="center"/>
          </w:tcPr>
          <w:p w14:paraId="435AA35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3</w:t>
            </w:r>
          </w:p>
        </w:tc>
        <w:tc>
          <w:tcPr>
            <w:tcW w:w="2506" w:type="dxa"/>
            <w:tcBorders>
              <w:top w:val="nil"/>
              <w:left w:val="nil"/>
              <w:bottom w:val="nil"/>
              <w:right w:val="nil"/>
            </w:tcBorders>
            <w:shd w:val="clear" w:color="auto" w:fill="auto"/>
            <w:noWrap w:val="0"/>
            <w:tcMar>
              <w:top w:w="161" w:type="dxa"/>
              <w:left w:w="-1" w:type="dxa"/>
              <w:bottom w:w="161" w:type="dxa"/>
              <w:right w:w="193" w:type="dxa"/>
            </w:tcMar>
            <w:vAlign w:val="center"/>
          </w:tcPr>
          <w:p w14:paraId="73482D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制作一套好课件</w:t>
            </w:r>
          </w:p>
        </w:tc>
        <w:tc>
          <w:tcPr>
            <w:tcW w:w="5299" w:type="dxa"/>
            <w:tcBorders>
              <w:top w:val="nil"/>
              <w:left w:val="nil"/>
              <w:bottom w:val="nil"/>
              <w:right w:val="nil"/>
            </w:tcBorders>
            <w:shd w:val="clear" w:color="auto" w:fill="auto"/>
            <w:noWrap w:val="0"/>
            <w:tcMar>
              <w:top w:w="161" w:type="dxa"/>
              <w:left w:w="-1" w:type="dxa"/>
              <w:bottom w:w="161" w:type="dxa"/>
              <w:right w:w="193" w:type="dxa"/>
            </w:tcMar>
            <w:vAlign w:val="center"/>
          </w:tcPr>
          <w:p w14:paraId="4ADAE31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PPT课件，内容准确、逻辑清晰、形式规范</w:t>
            </w:r>
          </w:p>
        </w:tc>
      </w:tr>
      <w:tr w14:paraId="209C2823">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17" w:type="dxa"/>
            <w:tcBorders>
              <w:top w:val="nil"/>
              <w:left w:val="nil"/>
              <w:bottom w:val="nil"/>
              <w:right w:val="nil"/>
            </w:tcBorders>
            <w:shd w:val="clear" w:color="auto" w:fill="auto"/>
            <w:noWrap w:val="0"/>
            <w:tcMar>
              <w:top w:w="161" w:type="dxa"/>
              <w:left w:w="-1" w:type="dxa"/>
              <w:bottom w:w="161" w:type="dxa"/>
              <w:right w:w="193" w:type="dxa"/>
            </w:tcMar>
            <w:vAlign w:val="center"/>
          </w:tcPr>
          <w:p w14:paraId="13BA694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4</w:t>
            </w:r>
          </w:p>
        </w:tc>
        <w:tc>
          <w:tcPr>
            <w:tcW w:w="2506" w:type="dxa"/>
            <w:tcBorders>
              <w:top w:val="nil"/>
              <w:left w:val="nil"/>
              <w:bottom w:val="nil"/>
              <w:right w:val="nil"/>
            </w:tcBorders>
            <w:shd w:val="clear" w:color="auto" w:fill="auto"/>
            <w:noWrap w:val="0"/>
            <w:tcMar>
              <w:top w:w="161" w:type="dxa"/>
              <w:left w:w="-1" w:type="dxa"/>
              <w:bottom w:w="161" w:type="dxa"/>
              <w:right w:w="193" w:type="dxa"/>
            </w:tcMar>
            <w:vAlign w:val="center"/>
          </w:tcPr>
          <w:p w14:paraId="557D931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课程思政案例库</w:t>
            </w:r>
          </w:p>
        </w:tc>
        <w:tc>
          <w:tcPr>
            <w:tcW w:w="5299" w:type="dxa"/>
            <w:tcBorders>
              <w:top w:val="nil"/>
              <w:left w:val="nil"/>
              <w:bottom w:val="nil"/>
              <w:right w:val="nil"/>
            </w:tcBorders>
            <w:shd w:val="clear" w:color="auto" w:fill="auto"/>
            <w:noWrap w:val="0"/>
            <w:tcMar>
              <w:top w:w="161" w:type="dxa"/>
              <w:left w:w="-1" w:type="dxa"/>
              <w:bottom w:w="161" w:type="dxa"/>
              <w:right w:w="193" w:type="dxa"/>
            </w:tcMar>
            <w:vAlign w:val="center"/>
          </w:tcPr>
          <w:p w14:paraId="52FC01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与课程内容深度融合的思政教学案例</w:t>
            </w:r>
          </w:p>
        </w:tc>
      </w:tr>
      <w:tr w14:paraId="2EDD37B5">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17" w:type="dxa"/>
            <w:tcBorders>
              <w:top w:val="nil"/>
              <w:left w:val="nil"/>
              <w:bottom w:val="nil"/>
              <w:right w:val="nil"/>
            </w:tcBorders>
            <w:shd w:val="clear" w:color="auto" w:fill="auto"/>
            <w:noWrap w:val="0"/>
            <w:tcMar>
              <w:top w:w="161" w:type="dxa"/>
              <w:left w:w="-1" w:type="dxa"/>
              <w:bottom w:w="161" w:type="dxa"/>
              <w:right w:w="193" w:type="dxa"/>
            </w:tcMar>
            <w:vAlign w:val="center"/>
          </w:tcPr>
          <w:p w14:paraId="0C65FBA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5</w:t>
            </w:r>
          </w:p>
        </w:tc>
        <w:tc>
          <w:tcPr>
            <w:tcW w:w="2506" w:type="dxa"/>
            <w:tcBorders>
              <w:top w:val="nil"/>
              <w:left w:val="nil"/>
              <w:bottom w:val="nil"/>
              <w:right w:val="nil"/>
            </w:tcBorders>
            <w:shd w:val="clear" w:color="auto" w:fill="auto"/>
            <w:noWrap w:val="0"/>
            <w:tcMar>
              <w:top w:w="161" w:type="dxa"/>
              <w:left w:w="-1" w:type="dxa"/>
              <w:bottom w:w="161" w:type="dxa"/>
              <w:right w:w="193" w:type="dxa"/>
            </w:tcMar>
            <w:vAlign w:val="center"/>
          </w:tcPr>
          <w:p w14:paraId="69365CB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数字化资源库（含题库）</w:t>
            </w:r>
          </w:p>
        </w:tc>
        <w:tc>
          <w:tcPr>
            <w:tcW w:w="5299" w:type="dxa"/>
            <w:tcBorders>
              <w:top w:val="nil"/>
              <w:left w:val="nil"/>
              <w:bottom w:val="nil"/>
              <w:right w:val="nil"/>
            </w:tcBorders>
            <w:shd w:val="clear" w:color="auto" w:fill="auto"/>
            <w:noWrap w:val="0"/>
            <w:tcMar>
              <w:top w:w="161" w:type="dxa"/>
              <w:left w:w="-1" w:type="dxa"/>
              <w:bottom w:w="161" w:type="dxa"/>
              <w:right w:w="193" w:type="dxa"/>
            </w:tcMar>
            <w:vAlign w:val="center"/>
          </w:tcPr>
          <w:p w14:paraId="4FAEDAD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覆盖主要课程知识点的数字化教学资源及试题库</w:t>
            </w:r>
          </w:p>
        </w:tc>
      </w:tr>
      <w:tr w14:paraId="713B813F">
        <w:tblPrEx>
          <w:tblBorders>
            <w:top w:val="none" w:color="E0E0E0" w:sz="6" w:space="0"/>
            <w:left w:val="none" w:color="E0E0E0" w:sz="6" w:space="0"/>
            <w:bottom w:val="none" w:color="E0E0E0" w:sz="6" w:space="0"/>
            <w:right w:val="none" w:color="E0E0E0" w:sz="6"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17" w:type="dxa"/>
            <w:tcBorders>
              <w:top w:val="nil"/>
              <w:left w:val="nil"/>
              <w:bottom w:val="single" w:color="auto" w:sz="12" w:space="0"/>
              <w:right w:val="nil"/>
            </w:tcBorders>
            <w:shd w:val="clear" w:color="auto" w:fill="auto"/>
            <w:noWrap w:val="0"/>
            <w:tcMar>
              <w:top w:w="161" w:type="dxa"/>
              <w:left w:w="-1" w:type="dxa"/>
              <w:bottom w:w="161" w:type="dxa"/>
              <w:right w:w="193" w:type="dxa"/>
            </w:tcMar>
            <w:vAlign w:val="center"/>
          </w:tcPr>
          <w:p w14:paraId="28ED01A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6</w:t>
            </w:r>
          </w:p>
        </w:tc>
        <w:tc>
          <w:tcPr>
            <w:tcW w:w="2506" w:type="dxa"/>
            <w:tcBorders>
              <w:top w:val="nil"/>
              <w:left w:val="nil"/>
              <w:bottom w:val="single" w:color="auto" w:sz="12" w:space="0"/>
              <w:right w:val="nil"/>
            </w:tcBorders>
            <w:shd w:val="clear" w:color="auto" w:fill="auto"/>
            <w:noWrap w:val="0"/>
            <w:tcMar>
              <w:top w:w="161" w:type="dxa"/>
              <w:left w:w="-1" w:type="dxa"/>
              <w:bottom w:w="161" w:type="dxa"/>
              <w:right w:w="193" w:type="dxa"/>
            </w:tcMar>
            <w:vAlign w:val="center"/>
          </w:tcPr>
          <w:p w14:paraId="0C06B2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学科前沿知识库</w:t>
            </w:r>
          </w:p>
        </w:tc>
        <w:tc>
          <w:tcPr>
            <w:tcW w:w="5299" w:type="dxa"/>
            <w:tcBorders>
              <w:top w:val="nil"/>
              <w:left w:val="nil"/>
              <w:bottom w:val="single" w:color="auto" w:sz="12" w:space="0"/>
              <w:right w:val="nil"/>
            </w:tcBorders>
            <w:shd w:val="clear" w:color="auto" w:fill="auto"/>
            <w:noWrap w:val="0"/>
            <w:tcMar>
              <w:top w:w="161" w:type="dxa"/>
              <w:left w:w="-1" w:type="dxa"/>
              <w:bottom w:w="161" w:type="dxa"/>
              <w:right w:w="193" w:type="dxa"/>
            </w:tcMar>
            <w:vAlign w:val="center"/>
          </w:tcPr>
          <w:p w14:paraId="4F9D41B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黑体" w:hAnsi="黑体" w:eastAsia="黑体" w:cs="黑体"/>
                <w:kern w:val="0"/>
                <w:sz w:val="24"/>
                <w:szCs w:val="24"/>
                <w:highlight w:val="none"/>
                <w:lang w:val="en-US" w:eastAsia="zh-CN" w:bidi="ar"/>
              </w:rPr>
            </w:pPr>
            <w:r>
              <w:rPr>
                <w:rFonts w:hint="eastAsia" w:ascii="黑体" w:hAnsi="黑体" w:eastAsia="黑体" w:cs="黑体"/>
                <w:kern w:val="0"/>
                <w:sz w:val="24"/>
                <w:szCs w:val="24"/>
                <w:highlight w:val="none"/>
                <w:lang w:val="en-US" w:eastAsia="zh-CN" w:bidi="ar"/>
              </w:rPr>
              <w:t>反映学科前沿热点问题等的补充教学资料</w:t>
            </w:r>
          </w:p>
        </w:tc>
      </w:tr>
    </w:tbl>
    <w:p w14:paraId="32CE1EC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pPr>
      <w:r>
        <w:rPr>
          <w:rFonts w:hint="eastAsia" w:ascii="仿宋_GB2312" w:hAnsi="仿宋_GB2312" w:eastAsia="仿宋_GB2312" w:cs="仿宋_GB2312"/>
          <w:kern w:val="0"/>
          <w:sz w:val="32"/>
          <w:szCs w:val="32"/>
          <w:lang w:val="en-US" w:eastAsia="zh-CN" w:bidi="ar"/>
        </w:rPr>
        <w:t>课程具有显著的高阶性、创新性和挑战度，其中实践教学类课程应充分体现产教融合、科教融汇和AI应用场景融合特征，突出培养学生实践创新能力的价值导向。</w:t>
      </w:r>
    </w:p>
    <w:p w14:paraId="3CBACFE1">
      <w:pPr>
        <w:pStyle w:val="5"/>
        <w:pageBreakBefore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default"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3.师生评价要求</w:t>
      </w:r>
    </w:p>
    <w:p w14:paraId="4FA614E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（1）近2年教学督导和听评课数据中，校院两级教学顾问、领导、同行听评课总体良好，无重大负面整改意见。</w:t>
      </w:r>
    </w:p>
    <w:p w14:paraId="32871FB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（2）近2年学生评教数据中，学生评价总体良好，开放性意见无集中性负面教学反馈。</w:t>
      </w:r>
    </w:p>
    <w:p w14:paraId="6B746FC4">
      <w:pPr>
        <w:pStyle w:val="4"/>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楷体" w:hAnsi="楷体" w:eastAsia="楷体" w:cs="楷体"/>
          <w:b w:val="0"/>
          <w:bCs w:val="0"/>
          <w:sz w:val="32"/>
          <w:szCs w:val="32"/>
          <w:lang w:val="en-US" w:eastAsia="zh-CN"/>
        </w:rPr>
        <w:t>（二）</w:t>
      </w:r>
      <w:r>
        <w:rPr>
          <w:rFonts w:hint="eastAsia" w:ascii="楷体" w:hAnsi="楷体" w:eastAsia="楷体" w:cs="楷体"/>
          <w:b w:val="0"/>
          <w:bCs w:val="0"/>
          <w:sz w:val="32"/>
          <w:szCs w:val="32"/>
        </w:rPr>
        <w:t>参考标准</w:t>
      </w:r>
    </w:p>
    <w:p w14:paraId="6E2BE1CE">
      <w:pPr>
        <w:pStyle w:val="5"/>
        <w:pageBreakBefore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1.师生开放性意见</w:t>
      </w:r>
    </w:p>
    <w:p w14:paraId="481A57F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能够认真听取同行专家和课程班学生的意见建议；每学期组织师生“面对面”意见建议征询活动；课程满意度较高，师生提出的改进建议有明确回应和落地举措。</w:t>
      </w:r>
    </w:p>
    <w:p w14:paraId="1303050E">
      <w:pPr>
        <w:pStyle w:val="5"/>
        <w:pageBreakBefore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2.教学研究成果</w:t>
      </w:r>
    </w:p>
    <w:p w14:paraId="4AED1BA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课程负责人及团队具备校级及以上的教学改革、研究与实践积累，或者公开发表（出版）有关教学成果，或在全国性教学工作研讨会上受邀作主旨报告。</w:t>
      </w:r>
    </w:p>
    <w:p w14:paraId="0B625D75">
      <w:pPr>
        <w:pStyle w:val="5"/>
        <w:pageBreakBefore w:val="0"/>
        <w:kinsoku/>
        <w:wordWrap/>
        <w:overflowPunct/>
        <w:topLinePunct w:val="0"/>
        <w:autoSpaceDE/>
        <w:autoSpaceDN/>
        <w:bidi w:val="0"/>
        <w:adjustRightInd/>
        <w:snapToGrid/>
        <w:spacing w:before="0" w:beforeLines="0" w:beforeAutospacing="0" w:after="0" w:afterLines="0" w:afterAutospacing="0" w:line="560" w:lineRule="exact"/>
        <w:ind w:firstLine="643" w:firstLineChars="200"/>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3.课程闭环管理</w:t>
      </w:r>
    </w:p>
    <w:p w14:paraId="750BA46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编制了完整的课程教学大纲并进行动态更新与完善。每学期能够按学校和学院要求将课程考核试题卷（含考查作业、缓考试题卷）及时归档，且近2年“一课一案”落实有效，试卷分析、成绩分析、课程目标达成度分析规范，形成“系统评价-及时反馈-持续改进”的闭环管理。</w:t>
      </w:r>
    </w:p>
    <w:p w14:paraId="57ABC8CC">
      <w:pPr>
        <w:pStyle w:val="4"/>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楷体" w:hAnsi="楷体" w:eastAsia="楷体" w:cs="楷体"/>
          <w:b w:val="0"/>
          <w:bCs w:val="0"/>
          <w:sz w:val="32"/>
          <w:szCs w:val="32"/>
        </w:rPr>
      </w:pPr>
      <w:r>
        <w:rPr>
          <w:rFonts w:hint="eastAsia" w:ascii="楷体" w:hAnsi="楷体" w:eastAsia="楷体" w:cs="楷体"/>
          <w:b w:val="0"/>
          <w:bCs w:val="0"/>
          <w:sz w:val="32"/>
          <w:szCs w:val="32"/>
          <w:lang w:val="en-US" w:eastAsia="zh-CN"/>
        </w:rPr>
        <w:t>（三）</w:t>
      </w:r>
      <w:r>
        <w:rPr>
          <w:rFonts w:hint="eastAsia" w:ascii="楷体" w:hAnsi="楷体" w:eastAsia="楷体" w:cs="楷体"/>
          <w:b w:val="0"/>
          <w:bCs w:val="0"/>
          <w:sz w:val="32"/>
          <w:szCs w:val="32"/>
        </w:rPr>
        <w:t>国家级、省级一流本科课程认证标准</w:t>
      </w:r>
    </w:p>
    <w:p w14:paraId="046DCFC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国家级、省级一流本科课程在不涉及限制申报情形和满足基本标准的基础上，经课程负责人申报、学院教学指导分委员会会议审核，直接认定为“院级优秀”课程。</w:t>
      </w:r>
    </w:p>
    <w:p w14:paraId="158D6421">
      <w:pPr>
        <w:pStyle w:val="3"/>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outlineLvl w:val="1"/>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四、认证推进方案</w:t>
      </w:r>
    </w:p>
    <w:p w14:paraId="47B6013A">
      <w:pPr>
        <w:pStyle w:val="4"/>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（一）分批次认证计划</w:t>
      </w:r>
    </w:p>
    <w:p w14:paraId="19EF61D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2026—2028年，分3批次有序开展认证工作。</w:t>
      </w:r>
    </w:p>
    <w:p w14:paraId="0A2ECF5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每年9月-11月，学院组织任课教师进行申报，开展认证辅导或专门培训，做好院级优秀课程培育选树工作，所有申请参与认证的课程及团队按照认证标准要求完成课程内涵建设和质量提升。</w:t>
      </w:r>
    </w:p>
    <w:p w14:paraId="4B44DE7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每年12月，学院完成认证结果公示与备案，2026年首批课程认证通过数量不超过本单位开课总量的20%。</w:t>
      </w:r>
    </w:p>
    <w:p w14:paraId="000F312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自2027年春季学期起，在首批院级优秀课程认证工作的基础上，开展校级精品课程、卓越课程认证工作。认证结果报人力资源部、人才办等校内各相关单位。申请校级认证的课程须经过至少3个学期或3个教学周期的建设和完善。具体安排以正式通知为准。</w:t>
      </w:r>
    </w:p>
    <w:p w14:paraId="63E832BB">
      <w:pPr>
        <w:pStyle w:val="4"/>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w:t>
      </w:r>
      <w:r>
        <w:rPr>
          <w:rFonts w:hint="eastAsia" w:ascii="楷体" w:hAnsi="楷体" w:eastAsia="楷体" w:cs="楷体"/>
          <w:b/>
          <w:bCs/>
          <w:sz w:val="32"/>
          <w:szCs w:val="32"/>
        </w:rPr>
        <w:t>认证流程</w:t>
      </w:r>
    </w:p>
    <w:p w14:paraId="765DF8A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val="0"/>
          <w:bCs w:val="0"/>
          <w:kern w:val="0"/>
          <w:sz w:val="32"/>
          <w:szCs w:val="32"/>
          <w:lang w:val="en-US" w:eastAsia="zh-CN" w:bidi="ar"/>
        </w:rPr>
        <w:t>认证按“申报→认证→公示→认定”的流程执行：</w:t>
      </w:r>
    </w:p>
    <w:p w14:paraId="676E3F3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1.</w:t>
      </w:r>
      <w:r>
        <w:rPr>
          <w:rFonts w:hint="eastAsia" w:ascii="仿宋_GB2312" w:hAnsi="仿宋_GB2312" w:eastAsia="仿宋_GB2312" w:cs="仿宋_GB2312"/>
          <w:b/>
          <w:bCs/>
          <w:kern w:val="0"/>
          <w:sz w:val="32"/>
          <w:szCs w:val="32"/>
          <w:lang w:val="en-US" w:eastAsia="zh-CN" w:bidi="ar"/>
        </w:rPr>
        <w:t>申报</w:t>
      </w:r>
      <w:r>
        <w:rPr>
          <w:rFonts w:hint="eastAsia" w:ascii="仿宋_GB2312" w:hAnsi="仿宋_GB2312" w:eastAsia="仿宋_GB2312" w:cs="仿宋_GB2312"/>
          <w:kern w:val="0"/>
          <w:sz w:val="32"/>
          <w:szCs w:val="32"/>
          <w:lang w:val="en-US" w:eastAsia="zh-CN" w:bidi="ar"/>
        </w:rPr>
        <w:t>（每年11月15日前），课程负责人提交以下材料：</w:t>
      </w:r>
    </w:p>
    <w:p w14:paraId="5398A19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（1）《法学院“院级优秀”本科课程认证申报书》；</w:t>
      </w:r>
    </w:p>
    <w:p w14:paraId="1C15800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（2）课程“六件套”佐证材料（教材选用说明、编著教材说明、教案讲义、课件、思政案例库、数字化资源库及题库、前沿知识库）；</w:t>
      </w:r>
    </w:p>
    <w:p w14:paraId="2E34496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（3）近2年听评课记录、学生评教数据截图、教学大纲及动态更新说明；</w:t>
      </w:r>
    </w:p>
    <w:p w14:paraId="2744A70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（4）近2年试题卷归档清单、“一课一案”材料；</w:t>
      </w:r>
    </w:p>
    <w:p w14:paraId="1401104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（5）教学研究成果清单及佐证。</w:t>
      </w:r>
    </w:p>
    <w:p w14:paraId="42A1583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w:t>
      </w:r>
      <w:r>
        <w:rPr>
          <w:rFonts w:hint="eastAsia" w:ascii="仿宋_GB2312" w:hAnsi="仿宋_GB2312" w:eastAsia="仿宋_GB2312" w:cs="仿宋_GB2312"/>
          <w:b/>
          <w:bCs/>
          <w:kern w:val="0"/>
          <w:sz w:val="32"/>
          <w:szCs w:val="32"/>
          <w:lang w:val="en-US" w:eastAsia="zh-CN" w:bidi="ar"/>
        </w:rPr>
        <w:t>认证</w:t>
      </w:r>
      <w:r>
        <w:rPr>
          <w:rFonts w:hint="eastAsia" w:ascii="仿宋_GB2312" w:hAnsi="仿宋_GB2312" w:eastAsia="仿宋_GB2312" w:cs="仿宋_GB2312"/>
          <w:kern w:val="0"/>
          <w:sz w:val="32"/>
          <w:szCs w:val="32"/>
          <w:lang w:val="en-US" w:eastAsia="zh-CN" w:bidi="ar"/>
        </w:rPr>
        <w:t>（每年11月16日—12月10日）：认证工作小组开展评审</w:t>
      </w:r>
    </w:p>
    <w:p w14:paraId="29AD928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3.</w:t>
      </w:r>
      <w:r>
        <w:rPr>
          <w:rFonts w:hint="eastAsia" w:ascii="仿宋_GB2312" w:hAnsi="仿宋_GB2312" w:eastAsia="仿宋_GB2312" w:cs="仿宋_GB2312"/>
          <w:b/>
          <w:bCs/>
          <w:kern w:val="0"/>
          <w:sz w:val="32"/>
          <w:szCs w:val="32"/>
          <w:lang w:val="en-US" w:eastAsia="zh-CN" w:bidi="ar"/>
        </w:rPr>
        <w:t>公示</w:t>
      </w:r>
      <w:r>
        <w:rPr>
          <w:rFonts w:hint="eastAsia" w:ascii="仿宋_GB2312" w:hAnsi="仿宋_GB2312" w:eastAsia="仿宋_GB2312" w:cs="仿宋_GB2312"/>
          <w:kern w:val="0"/>
          <w:sz w:val="32"/>
          <w:szCs w:val="32"/>
          <w:lang w:val="en-US" w:eastAsia="zh-CN" w:bidi="ar"/>
        </w:rPr>
        <w:t>（不少于3个工作日）：公示异议由工作小组复核，报党政联席会议审定</w:t>
      </w:r>
    </w:p>
    <w:p w14:paraId="38940CE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4.</w:t>
      </w:r>
      <w:r>
        <w:rPr>
          <w:rFonts w:hint="eastAsia" w:ascii="仿宋_GB2312" w:hAnsi="仿宋_GB2312" w:eastAsia="仿宋_GB2312" w:cs="仿宋_GB2312"/>
          <w:b/>
          <w:bCs/>
          <w:kern w:val="0"/>
          <w:sz w:val="32"/>
          <w:szCs w:val="32"/>
          <w:lang w:val="en-US" w:eastAsia="zh-CN" w:bidi="ar"/>
        </w:rPr>
        <w:t>认定与备案</w:t>
      </w:r>
      <w:r>
        <w:rPr>
          <w:rFonts w:hint="eastAsia" w:ascii="仿宋_GB2312" w:hAnsi="仿宋_GB2312" w:eastAsia="仿宋_GB2312" w:cs="仿宋_GB2312"/>
          <w:kern w:val="0"/>
          <w:sz w:val="32"/>
          <w:szCs w:val="32"/>
          <w:lang w:val="en-US" w:eastAsia="zh-CN" w:bidi="ar"/>
        </w:rPr>
        <w:t>：公示无异议后，报教务处审核备案</w:t>
      </w:r>
    </w:p>
    <w:p w14:paraId="46475ADC">
      <w:pPr>
        <w:pStyle w:val="4"/>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lang w:val="en-US" w:eastAsia="zh-CN"/>
        </w:rPr>
        <w:t>（三）</w:t>
      </w:r>
      <w:r>
        <w:rPr>
          <w:rFonts w:hint="eastAsia" w:ascii="楷体" w:hAnsi="楷体" w:eastAsia="楷体" w:cs="楷体"/>
          <w:b/>
          <w:bCs/>
          <w:sz w:val="32"/>
          <w:szCs w:val="32"/>
        </w:rPr>
        <w:t xml:space="preserve">有效期与复评 </w:t>
      </w:r>
    </w:p>
    <w:p w14:paraId="0FCE29F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课程认证有效期5年，有效期满前6个月开展院内复评，复评不通过的予以降级或撤销认证等级。</w:t>
      </w:r>
    </w:p>
    <w:p w14:paraId="5798941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课程认证有效期内，如课程负责人因工作岗位发生变动，不再承担该门课程教学任务，则撤销该门课程认证等级。新的课程负责人需要重新申请课程认证。</w:t>
      </w:r>
    </w:p>
    <w:p w14:paraId="21CB843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学院负责院级优秀课程的复评工作，并结合认证工作要求，完善复评实施细则，复评结果报教务处审核备案。在院级优秀课程复评工作的基础上，教务处负责校级精品课程、卓越课程的复评工作，并及时公示公布。</w:t>
      </w:r>
    </w:p>
    <w:p w14:paraId="1862798E">
      <w:pPr>
        <w:pStyle w:val="3"/>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五、激励与退出机制</w:t>
      </w:r>
    </w:p>
    <w:p w14:paraId="0093F10D">
      <w:pPr>
        <w:pStyle w:val="4"/>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（一）激励机制</w:t>
      </w:r>
    </w:p>
    <w:p w14:paraId="176FBB3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自2027年起，学院根据实际，以院级合格课程（通过课程准入的课程即为院级合格课程）课时费为计算基数，对认定为“院级优秀”的本科课程实施优课优酬：课时费按合格课程课时费的1.2倍发放。</w:t>
      </w:r>
    </w:p>
    <w:p w14:paraId="1447259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在职称职级评审、岗位聘用、评优评先和各类人才项目申报等工作中对课程负责人及团队成员给予相应倾斜。具体规则按学校及学院当年评审文件执行。</w:t>
      </w:r>
    </w:p>
    <w:p w14:paraId="176410C5">
      <w:pPr>
        <w:pStyle w:val="4"/>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（二）退出机制</w:t>
      </w:r>
    </w:p>
    <w:p w14:paraId="1FE0CA2D">
      <w:pPr>
        <w:widowControl/>
        <w:spacing w:beforeAutospacing="0" w:afterAutospacing="0" w:line="540" w:lineRule="exact"/>
        <w:ind w:firstLine="640" w:firstLineChars="200"/>
        <w:jc w:val="both"/>
        <w:textAlignment w:val="center"/>
        <w:rPr>
          <w:rFonts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
        </w:rPr>
        <w:t>在</w:t>
      </w:r>
      <w:r>
        <w:rPr>
          <w:rFonts w:hint="eastAsia" w:ascii="仿宋_GB2312" w:hAnsi="仿宋_GB2312" w:eastAsia="仿宋_GB2312" w:cs="仿宋_GB2312"/>
          <w:kern w:val="0"/>
          <w:sz w:val="32"/>
          <w:szCs w:val="32"/>
          <w:lang w:val="en-US" w:eastAsia="zh-CN" w:bidi="ar-SA"/>
        </w:rPr>
        <w:t>课程认证</w:t>
      </w:r>
      <w:r>
        <w:rPr>
          <w:rFonts w:ascii="仿宋_GB2312" w:hAnsi="仿宋_GB2312" w:eastAsia="仿宋_GB2312" w:cs="仿宋_GB2312"/>
          <w:kern w:val="0"/>
          <w:sz w:val="32"/>
          <w:szCs w:val="32"/>
          <w:lang w:val="en-US" w:eastAsia="zh-CN" w:bidi="ar-SA"/>
        </w:rPr>
        <w:t>有效期内</w:t>
      </w:r>
      <w:r>
        <w:rPr>
          <w:rFonts w:hint="eastAsia" w:ascii="仿宋_GB2312" w:hAnsi="仿宋_GB2312" w:eastAsia="仿宋_GB2312" w:cs="仿宋_GB2312"/>
          <w:kern w:val="0"/>
          <w:sz w:val="32"/>
          <w:szCs w:val="32"/>
          <w:lang w:val="en-US" w:eastAsia="zh-CN" w:bidi="ar-SA"/>
        </w:rPr>
        <w:t>，</w:t>
      </w:r>
      <w:r>
        <w:rPr>
          <w:rFonts w:hint="eastAsia" w:ascii="仿宋_GB2312" w:hAnsi="仿宋_GB2312" w:eastAsia="仿宋_GB2312" w:cs="仿宋_GB2312"/>
          <w:kern w:val="0"/>
          <w:sz w:val="32"/>
          <w:szCs w:val="32"/>
          <w:lang w:val="en-US" w:eastAsia="zh-CN" w:bidi="ar"/>
        </w:rPr>
        <w:t>如发生下列情形之一，则取消认证等级和政策待遇。该课程经过1个教学周期的整改</w:t>
      </w:r>
      <w:r>
        <w:rPr>
          <w:rFonts w:ascii="仿宋_GB2312" w:hAnsi="仿宋_GB2312" w:eastAsia="仿宋_GB2312" w:cs="仿宋_GB2312"/>
          <w:kern w:val="0"/>
          <w:sz w:val="32"/>
          <w:szCs w:val="32"/>
          <w:lang w:val="en-US" w:eastAsia="zh-CN" w:bidi="ar-SA"/>
        </w:rPr>
        <w:t>后</w:t>
      </w:r>
      <w:r>
        <w:rPr>
          <w:rFonts w:hint="eastAsia" w:ascii="仿宋_GB2312" w:hAnsi="仿宋_GB2312" w:eastAsia="仿宋_GB2312" w:cs="仿宋_GB2312"/>
          <w:kern w:val="0"/>
          <w:sz w:val="32"/>
          <w:szCs w:val="32"/>
          <w:lang w:val="en-US" w:eastAsia="zh-CN" w:bidi="ar-SA"/>
        </w:rPr>
        <w:t>，</w:t>
      </w:r>
      <w:r>
        <w:rPr>
          <w:rFonts w:ascii="仿宋_GB2312" w:hAnsi="仿宋_GB2312" w:eastAsia="仿宋_GB2312" w:cs="仿宋_GB2312"/>
          <w:kern w:val="0"/>
          <w:sz w:val="32"/>
          <w:szCs w:val="32"/>
          <w:lang w:val="en-US" w:eastAsia="zh-CN" w:bidi="ar-SA"/>
        </w:rPr>
        <w:t>方可重新申报认证</w:t>
      </w:r>
      <w:r>
        <w:rPr>
          <w:rFonts w:hint="eastAsia" w:ascii="仿宋_GB2312" w:hAnsi="仿宋_GB2312" w:eastAsia="仿宋_GB2312" w:cs="仿宋_GB2312"/>
          <w:kern w:val="0"/>
          <w:sz w:val="32"/>
          <w:szCs w:val="32"/>
          <w:lang w:val="en-US" w:eastAsia="zh-CN" w:bidi="ar"/>
        </w:rPr>
        <w:t>。</w:t>
      </w:r>
    </w:p>
    <w:p w14:paraId="27AB6E0C">
      <w:pPr>
        <w:widowControl/>
        <w:spacing w:beforeAutospacing="0" w:afterAutospacing="0" w:line="540" w:lineRule="exact"/>
        <w:ind w:firstLine="640" w:firstLineChars="200"/>
        <w:jc w:val="both"/>
        <w:textAlignment w:val="center"/>
        <w:rPr>
          <w:rFonts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1</w:t>
      </w:r>
      <w:r>
        <w:rPr>
          <w:rFonts w:ascii="仿宋_GB2312" w:hAnsi="仿宋_GB2312" w:eastAsia="仿宋_GB2312" w:cs="仿宋_GB2312"/>
          <w:kern w:val="0"/>
          <w:sz w:val="32"/>
          <w:szCs w:val="32"/>
          <w:lang w:val="en-US" w:eastAsia="zh-CN" w:bidi="ar-SA"/>
        </w:rPr>
        <w:t>.</w:t>
      </w:r>
      <w:r>
        <w:rPr>
          <w:rFonts w:hint="eastAsia" w:ascii="仿宋_GB2312" w:hAnsi="仿宋_GB2312" w:eastAsia="仿宋_GB2312" w:cs="仿宋_GB2312"/>
          <w:kern w:val="0"/>
          <w:sz w:val="32"/>
          <w:szCs w:val="32"/>
          <w:lang w:val="en-US" w:eastAsia="zh-CN" w:bidi="ar-SA"/>
        </w:rPr>
        <w:t>课程负责人</w:t>
      </w:r>
      <w:r>
        <w:rPr>
          <w:rFonts w:ascii="仿宋_GB2312" w:hAnsi="仿宋_GB2312" w:eastAsia="仿宋_GB2312" w:cs="仿宋_GB2312"/>
          <w:kern w:val="0"/>
          <w:sz w:val="32"/>
          <w:szCs w:val="32"/>
          <w:lang w:val="en-US" w:eastAsia="zh-CN" w:bidi="ar-SA"/>
        </w:rPr>
        <w:t>出现</w:t>
      </w:r>
      <w:r>
        <w:rPr>
          <w:rFonts w:hint="eastAsia" w:ascii="仿宋_GB2312" w:hAnsi="仿宋_GB2312" w:eastAsia="仿宋_GB2312" w:cs="仿宋_GB2312"/>
          <w:kern w:val="0"/>
          <w:sz w:val="32"/>
          <w:szCs w:val="32"/>
          <w:lang w:val="en-US" w:eastAsia="zh-CN" w:bidi="ar-SA"/>
        </w:rPr>
        <w:t>师德失范行为或学风问题或二级</w:t>
      </w:r>
      <w:r>
        <w:rPr>
          <w:rFonts w:ascii="仿宋_GB2312" w:hAnsi="仿宋_GB2312" w:eastAsia="仿宋_GB2312" w:cs="仿宋_GB2312"/>
          <w:kern w:val="0"/>
          <w:sz w:val="32"/>
          <w:szCs w:val="32"/>
          <w:lang w:val="en-US" w:eastAsia="zh-CN" w:bidi="ar-SA"/>
        </w:rPr>
        <w:t>教学事故</w:t>
      </w:r>
      <w:r>
        <w:rPr>
          <w:rFonts w:hint="eastAsia" w:ascii="仿宋_GB2312" w:hAnsi="仿宋_GB2312" w:eastAsia="仿宋_GB2312" w:cs="仿宋_GB2312"/>
          <w:kern w:val="0"/>
          <w:sz w:val="32"/>
          <w:szCs w:val="32"/>
          <w:lang w:val="en-US" w:eastAsia="zh-CN" w:bidi="ar-SA"/>
        </w:rPr>
        <w:t>；</w:t>
      </w:r>
    </w:p>
    <w:p w14:paraId="470F5BED">
      <w:pPr>
        <w:widowControl/>
        <w:spacing w:beforeAutospacing="0" w:afterAutospacing="0" w:line="540" w:lineRule="exact"/>
        <w:ind w:firstLine="640" w:firstLineChars="200"/>
        <w:jc w:val="both"/>
        <w:textAlignment w:val="center"/>
        <w:rPr>
          <w:rFonts w:ascii="仿宋_GB2312" w:hAnsi="仿宋_GB2312" w:eastAsia="仿宋_GB2312" w:cs="仿宋_GB2312"/>
          <w:kern w:val="0"/>
          <w:sz w:val="32"/>
          <w:szCs w:val="32"/>
          <w:lang w:val="en-US" w:eastAsia="zh-CN" w:bidi="ar-SA"/>
        </w:rPr>
      </w:pPr>
      <w:r>
        <w:rPr>
          <w:rFonts w:ascii="仿宋_GB2312" w:hAnsi="仿宋_GB2312" w:eastAsia="仿宋_GB2312" w:cs="仿宋_GB2312"/>
          <w:kern w:val="0"/>
          <w:sz w:val="32"/>
          <w:szCs w:val="32"/>
          <w:lang w:val="en-US" w:eastAsia="zh-CN" w:bidi="ar-SA"/>
        </w:rPr>
        <w:t>2.</w:t>
      </w:r>
      <w:r>
        <w:rPr>
          <w:rFonts w:hint="eastAsia" w:ascii="仿宋_GB2312" w:hAnsi="仿宋_GB2312" w:eastAsia="仿宋_GB2312" w:cs="仿宋_GB2312"/>
          <w:kern w:val="0"/>
          <w:sz w:val="32"/>
          <w:szCs w:val="32"/>
          <w:lang w:val="en-US" w:eastAsia="zh-CN" w:bidi="ar-SA"/>
        </w:rPr>
        <w:t>2次</w:t>
      </w:r>
      <w:r>
        <w:rPr>
          <w:rFonts w:ascii="仿宋_GB2312" w:hAnsi="仿宋_GB2312" w:eastAsia="仿宋_GB2312" w:cs="仿宋_GB2312"/>
          <w:kern w:val="0"/>
          <w:sz w:val="32"/>
          <w:szCs w:val="32"/>
          <w:lang w:val="en-US" w:eastAsia="zh-CN" w:bidi="ar-SA"/>
        </w:rPr>
        <w:t>学生评教位列</w:t>
      </w:r>
      <w:r>
        <w:rPr>
          <w:rFonts w:hint="eastAsia" w:ascii="仿宋_GB2312" w:hAnsi="仿宋_GB2312" w:eastAsia="仿宋_GB2312" w:cs="仿宋_GB2312"/>
          <w:kern w:val="0"/>
          <w:sz w:val="32"/>
          <w:szCs w:val="32"/>
          <w:lang w:val="en-US" w:eastAsia="zh-CN" w:bidi="ar-SA"/>
        </w:rPr>
        <w:t>所在教学</w:t>
      </w:r>
      <w:r>
        <w:rPr>
          <w:rFonts w:ascii="仿宋_GB2312" w:hAnsi="仿宋_GB2312" w:eastAsia="仿宋_GB2312" w:cs="仿宋_GB2312"/>
          <w:kern w:val="0"/>
          <w:sz w:val="32"/>
          <w:szCs w:val="32"/>
          <w:lang w:val="en-US" w:eastAsia="zh-CN" w:bidi="ar-SA"/>
        </w:rPr>
        <w:t>单位后</w:t>
      </w:r>
      <w:r>
        <w:rPr>
          <w:rFonts w:hint="eastAsia" w:ascii="仿宋_GB2312" w:hAnsi="仿宋_GB2312" w:eastAsia="仿宋_GB2312" w:cs="仿宋_GB2312"/>
          <w:kern w:val="0"/>
          <w:sz w:val="32"/>
          <w:szCs w:val="32"/>
          <w:lang w:val="en-US" w:eastAsia="zh-CN" w:bidi="ar-SA"/>
        </w:rPr>
        <w:t>3</w:t>
      </w:r>
      <w:r>
        <w:rPr>
          <w:rFonts w:ascii="仿宋_GB2312" w:hAnsi="仿宋_GB2312" w:eastAsia="仿宋_GB2312" w:cs="仿宋_GB2312"/>
          <w:kern w:val="0"/>
          <w:sz w:val="32"/>
          <w:szCs w:val="32"/>
          <w:lang w:val="en-US" w:eastAsia="zh-CN" w:bidi="ar-SA"/>
        </w:rPr>
        <w:t>0%</w:t>
      </w:r>
      <w:r>
        <w:rPr>
          <w:rFonts w:hint="eastAsia" w:ascii="仿宋_GB2312" w:hAnsi="仿宋_GB2312" w:eastAsia="仿宋_GB2312" w:cs="仿宋_GB2312"/>
          <w:kern w:val="0"/>
          <w:sz w:val="32"/>
          <w:szCs w:val="32"/>
          <w:lang w:val="en-US" w:eastAsia="zh-CN" w:bidi="ar-SA"/>
        </w:rPr>
        <w:t>；</w:t>
      </w:r>
    </w:p>
    <w:p w14:paraId="19D7DB56">
      <w:pPr>
        <w:widowControl/>
        <w:spacing w:beforeAutospacing="0" w:afterAutospacing="0" w:line="540" w:lineRule="exact"/>
        <w:ind w:firstLine="640" w:firstLineChars="200"/>
        <w:jc w:val="both"/>
        <w:textAlignment w:val="center"/>
        <w:rPr>
          <w:rFonts w:hint="eastAsia" w:ascii="仿宋_GB2312" w:hAnsi="仿宋_GB2312" w:eastAsia="仿宋_GB2312" w:cs="仿宋_GB2312"/>
          <w:kern w:val="0"/>
          <w:sz w:val="32"/>
          <w:szCs w:val="32"/>
          <w:lang w:val="en-US" w:eastAsia="zh-CN" w:bidi="ar-SA"/>
        </w:rPr>
      </w:pPr>
      <w:r>
        <w:rPr>
          <w:rFonts w:ascii="仿宋_GB2312" w:hAnsi="仿宋_GB2312" w:eastAsia="仿宋_GB2312" w:cs="仿宋_GB2312"/>
          <w:kern w:val="0"/>
          <w:sz w:val="32"/>
          <w:szCs w:val="32"/>
          <w:lang w:val="en-US" w:eastAsia="zh-CN" w:bidi="ar-SA"/>
        </w:rPr>
        <w:t>3.</w:t>
      </w:r>
      <w:r>
        <w:rPr>
          <w:rFonts w:hint="eastAsia" w:ascii="仿宋_GB2312" w:hAnsi="仿宋_GB2312" w:eastAsia="仿宋_GB2312" w:cs="仿宋_GB2312"/>
          <w:kern w:val="0"/>
          <w:sz w:val="32"/>
          <w:szCs w:val="32"/>
          <w:lang w:val="en-US" w:eastAsia="zh-CN" w:bidi="ar-SA"/>
        </w:rPr>
        <w:t>2次校级教学顾问听评课结果有D或E的情形。</w:t>
      </w:r>
    </w:p>
    <w:p w14:paraId="02DE52C2">
      <w:pPr>
        <w:pStyle w:val="3"/>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六、组织与制度保障</w:t>
      </w:r>
    </w:p>
    <w:p w14:paraId="0042961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学院成立本科课程认证工作小组，组成如下：</w:t>
      </w:r>
    </w:p>
    <w:p w14:paraId="0CDB1C8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组长：本科教学院长</w:t>
      </w:r>
    </w:p>
    <w:p w14:paraId="451C5CD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成员：学院教学指导分委员会委员</w:t>
      </w:r>
    </w:p>
    <w:p w14:paraId="021BF23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秘书：本科教学秘书</w:t>
      </w:r>
    </w:p>
    <w:p w14:paraId="63D8247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本细则由法学院教学指导分委员会负责解释。</w:t>
      </w:r>
      <w:r>
        <w:rPr>
          <w:rFonts w:hint="eastAsia" w:ascii="仿宋_GB2312" w:hAnsi="仿宋_GB2312" w:eastAsia="仿宋_GB2312" w:cs="仿宋_GB2312"/>
          <w:kern w:val="0"/>
          <w:sz w:val="32"/>
          <w:szCs w:val="32"/>
          <w:highlight w:val="none"/>
          <w:lang w:val="en-US" w:eastAsia="zh-CN" w:bidi="ar"/>
        </w:rPr>
        <w:t>本办法自发布之日起施行</w:t>
      </w:r>
      <w:r>
        <w:rPr>
          <w:rFonts w:hint="eastAsia" w:ascii="仿宋_GB2312" w:hAnsi="仿宋_GB2312" w:eastAsia="仿宋_GB2312" w:cs="仿宋_GB2312"/>
          <w:kern w:val="0"/>
          <w:sz w:val="32"/>
          <w:szCs w:val="32"/>
          <w:lang w:val="en-US" w:eastAsia="zh-CN" w:bidi="ar"/>
        </w:rPr>
        <w:t>，此前学院有关规定与本细则不一致的，以本细则为准。施行中如遇学校政策调整，从其规定修订执行。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8CBA16-CC7F-4248-B095-401DFF8D8F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A24B41FE-5F8A-41E1-B121-7CD3B93503D3}"/>
  </w:font>
  <w:font w:name="楷体">
    <w:panose1 w:val="02010609060101010101"/>
    <w:charset w:val="86"/>
    <w:family w:val="auto"/>
    <w:pitch w:val="default"/>
    <w:sig w:usb0="800002BF" w:usb1="38CF7CFA" w:usb2="00000016" w:usb3="00000000" w:csb0="00040001" w:csb1="00000000"/>
    <w:embedRegular r:id="rId3" w:fontKey="{1663E148-2318-4000-BBFA-05A5FFF03AC8}"/>
  </w:font>
  <w:font w:name="方正小标宋简体">
    <w:panose1 w:val="0201060103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DD1D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79D9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179D9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A81743"/>
    <w:rsid w:val="001C7ACA"/>
    <w:rsid w:val="00B0507A"/>
    <w:rsid w:val="00D5063D"/>
    <w:rsid w:val="01260E98"/>
    <w:rsid w:val="018A58CB"/>
    <w:rsid w:val="01DB6127"/>
    <w:rsid w:val="02203B3A"/>
    <w:rsid w:val="022459D3"/>
    <w:rsid w:val="022A6766"/>
    <w:rsid w:val="025F0B06"/>
    <w:rsid w:val="027345B1"/>
    <w:rsid w:val="02FB57F1"/>
    <w:rsid w:val="032D4760"/>
    <w:rsid w:val="034321D6"/>
    <w:rsid w:val="0370464D"/>
    <w:rsid w:val="037800D1"/>
    <w:rsid w:val="041A1188"/>
    <w:rsid w:val="042A6EF2"/>
    <w:rsid w:val="048B3E34"/>
    <w:rsid w:val="049A5E25"/>
    <w:rsid w:val="05015EA4"/>
    <w:rsid w:val="051A51B8"/>
    <w:rsid w:val="0534627A"/>
    <w:rsid w:val="055C757F"/>
    <w:rsid w:val="059D3E1F"/>
    <w:rsid w:val="05BE78F1"/>
    <w:rsid w:val="05CB65E1"/>
    <w:rsid w:val="05DC2518"/>
    <w:rsid w:val="05FE23E4"/>
    <w:rsid w:val="0664493D"/>
    <w:rsid w:val="067C28F8"/>
    <w:rsid w:val="06826B71"/>
    <w:rsid w:val="06E15F8D"/>
    <w:rsid w:val="06F35CC1"/>
    <w:rsid w:val="07147816"/>
    <w:rsid w:val="07A11279"/>
    <w:rsid w:val="07B70A9C"/>
    <w:rsid w:val="07CA6A21"/>
    <w:rsid w:val="07D560F6"/>
    <w:rsid w:val="08234384"/>
    <w:rsid w:val="082779D0"/>
    <w:rsid w:val="0858227F"/>
    <w:rsid w:val="08A96637"/>
    <w:rsid w:val="08CA47FF"/>
    <w:rsid w:val="09297778"/>
    <w:rsid w:val="09320D22"/>
    <w:rsid w:val="09D04097"/>
    <w:rsid w:val="09F204B1"/>
    <w:rsid w:val="0A173A74"/>
    <w:rsid w:val="0A6273E5"/>
    <w:rsid w:val="0A6C2012"/>
    <w:rsid w:val="0A7B04A7"/>
    <w:rsid w:val="0A892BC4"/>
    <w:rsid w:val="0AB6328D"/>
    <w:rsid w:val="0AD16546"/>
    <w:rsid w:val="0AE778EA"/>
    <w:rsid w:val="0AEF054D"/>
    <w:rsid w:val="0B73117E"/>
    <w:rsid w:val="0BA53A2D"/>
    <w:rsid w:val="0BFF2A12"/>
    <w:rsid w:val="0C6A07D3"/>
    <w:rsid w:val="0C886EAB"/>
    <w:rsid w:val="0CB3217A"/>
    <w:rsid w:val="0CBF26C9"/>
    <w:rsid w:val="0CD45C4C"/>
    <w:rsid w:val="0D4C7ED9"/>
    <w:rsid w:val="0D652D01"/>
    <w:rsid w:val="0E7C659C"/>
    <w:rsid w:val="0EAD49A7"/>
    <w:rsid w:val="0F19203C"/>
    <w:rsid w:val="0F4E7F38"/>
    <w:rsid w:val="0F8C0A60"/>
    <w:rsid w:val="104906FF"/>
    <w:rsid w:val="10725EC0"/>
    <w:rsid w:val="10D66437"/>
    <w:rsid w:val="10DD5A17"/>
    <w:rsid w:val="10DE709A"/>
    <w:rsid w:val="11034D52"/>
    <w:rsid w:val="11333889"/>
    <w:rsid w:val="114809B7"/>
    <w:rsid w:val="11515ABE"/>
    <w:rsid w:val="11FD11C7"/>
    <w:rsid w:val="12244F80"/>
    <w:rsid w:val="12485112"/>
    <w:rsid w:val="12BB58E4"/>
    <w:rsid w:val="12F42BA4"/>
    <w:rsid w:val="130F3E82"/>
    <w:rsid w:val="137A57A0"/>
    <w:rsid w:val="13BD38DE"/>
    <w:rsid w:val="13C702B9"/>
    <w:rsid w:val="142B4CEC"/>
    <w:rsid w:val="1444190A"/>
    <w:rsid w:val="14956609"/>
    <w:rsid w:val="14F43330"/>
    <w:rsid w:val="1517701E"/>
    <w:rsid w:val="153E0A4F"/>
    <w:rsid w:val="15596A7E"/>
    <w:rsid w:val="158F12AA"/>
    <w:rsid w:val="16551BAC"/>
    <w:rsid w:val="17564089"/>
    <w:rsid w:val="176F3141"/>
    <w:rsid w:val="17C91F61"/>
    <w:rsid w:val="180C0990"/>
    <w:rsid w:val="18B352B0"/>
    <w:rsid w:val="18F90F15"/>
    <w:rsid w:val="190F698A"/>
    <w:rsid w:val="19116D08"/>
    <w:rsid w:val="191A70DD"/>
    <w:rsid w:val="19831126"/>
    <w:rsid w:val="19D90D46"/>
    <w:rsid w:val="19E971DB"/>
    <w:rsid w:val="19FE07AD"/>
    <w:rsid w:val="1A057D8D"/>
    <w:rsid w:val="1A772897"/>
    <w:rsid w:val="1AA15708"/>
    <w:rsid w:val="1AAA06BB"/>
    <w:rsid w:val="1AC13CB4"/>
    <w:rsid w:val="1AFC2F3E"/>
    <w:rsid w:val="1B1262BE"/>
    <w:rsid w:val="1B19589E"/>
    <w:rsid w:val="1B334486"/>
    <w:rsid w:val="1B943177"/>
    <w:rsid w:val="1BA138F3"/>
    <w:rsid w:val="1C5B250F"/>
    <w:rsid w:val="1D0D31E0"/>
    <w:rsid w:val="1D320E99"/>
    <w:rsid w:val="1D344C11"/>
    <w:rsid w:val="1D3618FC"/>
    <w:rsid w:val="1D48246B"/>
    <w:rsid w:val="1DBB0E8E"/>
    <w:rsid w:val="1DC87107"/>
    <w:rsid w:val="1E390005"/>
    <w:rsid w:val="1E403142"/>
    <w:rsid w:val="1E5B7F7C"/>
    <w:rsid w:val="1EDC730E"/>
    <w:rsid w:val="1F35015B"/>
    <w:rsid w:val="1F3A4035"/>
    <w:rsid w:val="1F464788"/>
    <w:rsid w:val="1F9951FF"/>
    <w:rsid w:val="1FE43FA1"/>
    <w:rsid w:val="205E1FA5"/>
    <w:rsid w:val="20A52531"/>
    <w:rsid w:val="20BD6CCC"/>
    <w:rsid w:val="20BE7B85"/>
    <w:rsid w:val="214D22F5"/>
    <w:rsid w:val="21AA36F4"/>
    <w:rsid w:val="221C3EC6"/>
    <w:rsid w:val="22244B28"/>
    <w:rsid w:val="225C051A"/>
    <w:rsid w:val="22DD5403"/>
    <w:rsid w:val="23307C29"/>
    <w:rsid w:val="2366189C"/>
    <w:rsid w:val="2369138D"/>
    <w:rsid w:val="23825FAA"/>
    <w:rsid w:val="23A334A8"/>
    <w:rsid w:val="23C91E2B"/>
    <w:rsid w:val="23CC2790"/>
    <w:rsid w:val="23F01166"/>
    <w:rsid w:val="24C525F3"/>
    <w:rsid w:val="24ED56A6"/>
    <w:rsid w:val="24FB7DC2"/>
    <w:rsid w:val="25257535"/>
    <w:rsid w:val="25357778"/>
    <w:rsid w:val="25D0124F"/>
    <w:rsid w:val="25F3318F"/>
    <w:rsid w:val="26103D41"/>
    <w:rsid w:val="262275D1"/>
    <w:rsid w:val="26282E39"/>
    <w:rsid w:val="26451C3D"/>
    <w:rsid w:val="26797B39"/>
    <w:rsid w:val="270C4509"/>
    <w:rsid w:val="271E5FEA"/>
    <w:rsid w:val="28F46B87"/>
    <w:rsid w:val="290F208E"/>
    <w:rsid w:val="29747620"/>
    <w:rsid w:val="29AC3D81"/>
    <w:rsid w:val="29F714A0"/>
    <w:rsid w:val="2A133E00"/>
    <w:rsid w:val="2A1772BA"/>
    <w:rsid w:val="2A2878AC"/>
    <w:rsid w:val="2A3F0751"/>
    <w:rsid w:val="2AE337D3"/>
    <w:rsid w:val="2AE5579D"/>
    <w:rsid w:val="2B253DEB"/>
    <w:rsid w:val="2B287437"/>
    <w:rsid w:val="2B2F6A18"/>
    <w:rsid w:val="2BAE2033"/>
    <w:rsid w:val="2BCE6231"/>
    <w:rsid w:val="2BD001FB"/>
    <w:rsid w:val="2C504E98"/>
    <w:rsid w:val="2C5524AE"/>
    <w:rsid w:val="2C7843EE"/>
    <w:rsid w:val="2CEC353A"/>
    <w:rsid w:val="2D2436E6"/>
    <w:rsid w:val="2D285E15"/>
    <w:rsid w:val="2D377E06"/>
    <w:rsid w:val="2D480265"/>
    <w:rsid w:val="2D621327"/>
    <w:rsid w:val="2D6B7AAF"/>
    <w:rsid w:val="2D7E77E3"/>
    <w:rsid w:val="2DAA682A"/>
    <w:rsid w:val="2DBA2F11"/>
    <w:rsid w:val="2DDF2977"/>
    <w:rsid w:val="2DE735DA"/>
    <w:rsid w:val="2E3D58F0"/>
    <w:rsid w:val="2E5D1AEE"/>
    <w:rsid w:val="2E625356"/>
    <w:rsid w:val="2E786928"/>
    <w:rsid w:val="2EC92CDF"/>
    <w:rsid w:val="2EF53AD4"/>
    <w:rsid w:val="2EFB0BAB"/>
    <w:rsid w:val="2F320885"/>
    <w:rsid w:val="2F803CE6"/>
    <w:rsid w:val="2F8E38A0"/>
    <w:rsid w:val="2FA5374C"/>
    <w:rsid w:val="30281C88"/>
    <w:rsid w:val="30402C87"/>
    <w:rsid w:val="30F524B2"/>
    <w:rsid w:val="310B5831"/>
    <w:rsid w:val="31644EEA"/>
    <w:rsid w:val="317653A0"/>
    <w:rsid w:val="31B00187"/>
    <w:rsid w:val="31BE4652"/>
    <w:rsid w:val="31C61758"/>
    <w:rsid w:val="32221084"/>
    <w:rsid w:val="32B85545"/>
    <w:rsid w:val="33030EB6"/>
    <w:rsid w:val="33435756"/>
    <w:rsid w:val="338800BF"/>
    <w:rsid w:val="33A06705"/>
    <w:rsid w:val="33E83C08"/>
    <w:rsid w:val="34B61F58"/>
    <w:rsid w:val="34CC3529"/>
    <w:rsid w:val="354B444E"/>
    <w:rsid w:val="358D4A67"/>
    <w:rsid w:val="364C66D0"/>
    <w:rsid w:val="36987B67"/>
    <w:rsid w:val="36A04C6E"/>
    <w:rsid w:val="36A858D0"/>
    <w:rsid w:val="36D16BD5"/>
    <w:rsid w:val="36EA5EE9"/>
    <w:rsid w:val="37133692"/>
    <w:rsid w:val="374B4BD9"/>
    <w:rsid w:val="375B2943"/>
    <w:rsid w:val="375D490D"/>
    <w:rsid w:val="3768578B"/>
    <w:rsid w:val="378123A9"/>
    <w:rsid w:val="37873738"/>
    <w:rsid w:val="378E2D18"/>
    <w:rsid w:val="37D35905"/>
    <w:rsid w:val="37F963E3"/>
    <w:rsid w:val="386677F1"/>
    <w:rsid w:val="386A108F"/>
    <w:rsid w:val="38BD1B07"/>
    <w:rsid w:val="38DF7CCF"/>
    <w:rsid w:val="39365415"/>
    <w:rsid w:val="396F26D5"/>
    <w:rsid w:val="39812B34"/>
    <w:rsid w:val="398443D3"/>
    <w:rsid w:val="39BC591B"/>
    <w:rsid w:val="39D72754"/>
    <w:rsid w:val="39E6508D"/>
    <w:rsid w:val="3A445910"/>
    <w:rsid w:val="3A461688"/>
    <w:rsid w:val="3A555D6F"/>
    <w:rsid w:val="3A5E69D2"/>
    <w:rsid w:val="3A9B7C26"/>
    <w:rsid w:val="3AF410E4"/>
    <w:rsid w:val="3AF86E26"/>
    <w:rsid w:val="3B1D688D"/>
    <w:rsid w:val="3B4E2EEA"/>
    <w:rsid w:val="3BFE7B80"/>
    <w:rsid w:val="3C0B0DDB"/>
    <w:rsid w:val="3C2E0626"/>
    <w:rsid w:val="3C9708C1"/>
    <w:rsid w:val="3CC52D38"/>
    <w:rsid w:val="3CD72A6B"/>
    <w:rsid w:val="3D3954D4"/>
    <w:rsid w:val="3D483969"/>
    <w:rsid w:val="3D801355"/>
    <w:rsid w:val="3D8250CD"/>
    <w:rsid w:val="3DB159B2"/>
    <w:rsid w:val="3DE732E4"/>
    <w:rsid w:val="3E0C2BE9"/>
    <w:rsid w:val="3E1F5936"/>
    <w:rsid w:val="3E4405D4"/>
    <w:rsid w:val="3E640B6F"/>
    <w:rsid w:val="3E9926CE"/>
    <w:rsid w:val="3EF773F5"/>
    <w:rsid w:val="3F1D32FF"/>
    <w:rsid w:val="3F226537"/>
    <w:rsid w:val="3F3E3BC8"/>
    <w:rsid w:val="3F781034"/>
    <w:rsid w:val="3FBD063E"/>
    <w:rsid w:val="3FE07E89"/>
    <w:rsid w:val="3FF1653A"/>
    <w:rsid w:val="408353E4"/>
    <w:rsid w:val="40D75730"/>
    <w:rsid w:val="40E816EB"/>
    <w:rsid w:val="417D7544"/>
    <w:rsid w:val="423170C2"/>
    <w:rsid w:val="423B546A"/>
    <w:rsid w:val="423F17DF"/>
    <w:rsid w:val="424B0183"/>
    <w:rsid w:val="427E2307"/>
    <w:rsid w:val="42823479"/>
    <w:rsid w:val="428C60A6"/>
    <w:rsid w:val="436A63E7"/>
    <w:rsid w:val="43851473"/>
    <w:rsid w:val="43A63197"/>
    <w:rsid w:val="43B9736F"/>
    <w:rsid w:val="43FE4D82"/>
    <w:rsid w:val="44735770"/>
    <w:rsid w:val="447F5EC2"/>
    <w:rsid w:val="44957494"/>
    <w:rsid w:val="44A973E3"/>
    <w:rsid w:val="44D53472"/>
    <w:rsid w:val="45813EBC"/>
    <w:rsid w:val="459223AD"/>
    <w:rsid w:val="45A51959"/>
    <w:rsid w:val="45B102B1"/>
    <w:rsid w:val="45F4643C"/>
    <w:rsid w:val="464949DA"/>
    <w:rsid w:val="46496788"/>
    <w:rsid w:val="465F5FAB"/>
    <w:rsid w:val="4723347D"/>
    <w:rsid w:val="47486A40"/>
    <w:rsid w:val="47B95B8F"/>
    <w:rsid w:val="47ED3965"/>
    <w:rsid w:val="481B05F8"/>
    <w:rsid w:val="485A1120"/>
    <w:rsid w:val="48873598"/>
    <w:rsid w:val="48FA1FBB"/>
    <w:rsid w:val="49090450"/>
    <w:rsid w:val="49117305"/>
    <w:rsid w:val="49951CE4"/>
    <w:rsid w:val="49AB1508"/>
    <w:rsid w:val="49BA174B"/>
    <w:rsid w:val="49DC5B65"/>
    <w:rsid w:val="49E60792"/>
    <w:rsid w:val="4A3414FD"/>
    <w:rsid w:val="4A392FB7"/>
    <w:rsid w:val="4A484FA8"/>
    <w:rsid w:val="4AAF6DD6"/>
    <w:rsid w:val="4AB97C54"/>
    <w:rsid w:val="4B1F21AD"/>
    <w:rsid w:val="4B241572"/>
    <w:rsid w:val="4BB23884"/>
    <w:rsid w:val="4BE11211"/>
    <w:rsid w:val="4C4F261E"/>
    <w:rsid w:val="4C5C3617"/>
    <w:rsid w:val="4C7D362F"/>
    <w:rsid w:val="4C9646F1"/>
    <w:rsid w:val="4C997D3D"/>
    <w:rsid w:val="4CC56D84"/>
    <w:rsid w:val="4CF7759D"/>
    <w:rsid w:val="4D2E66D8"/>
    <w:rsid w:val="4D4B26EB"/>
    <w:rsid w:val="4D616AAD"/>
    <w:rsid w:val="4D814A59"/>
    <w:rsid w:val="4D9A3D6D"/>
    <w:rsid w:val="4D9E3F3B"/>
    <w:rsid w:val="4DDF3E76"/>
    <w:rsid w:val="4DED5CE9"/>
    <w:rsid w:val="4DF96CE5"/>
    <w:rsid w:val="4DFC0584"/>
    <w:rsid w:val="4E255D2C"/>
    <w:rsid w:val="4E8D5680"/>
    <w:rsid w:val="4EAC0669"/>
    <w:rsid w:val="4EEC05F8"/>
    <w:rsid w:val="4EEF1E97"/>
    <w:rsid w:val="4EF30C35"/>
    <w:rsid w:val="4F082F58"/>
    <w:rsid w:val="4F0C0C9A"/>
    <w:rsid w:val="4F3F2E1E"/>
    <w:rsid w:val="4FCB2904"/>
    <w:rsid w:val="4FCE5F50"/>
    <w:rsid w:val="50055E16"/>
    <w:rsid w:val="50395ABF"/>
    <w:rsid w:val="50753A12"/>
    <w:rsid w:val="508367B6"/>
    <w:rsid w:val="50A3118B"/>
    <w:rsid w:val="50E7376D"/>
    <w:rsid w:val="51145BE4"/>
    <w:rsid w:val="51600E2A"/>
    <w:rsid w:val="51B318A1"/>
    <w:rsid w:val="51EB67C6"/>
    <w:rsid w:val="51FC6DA4"/>
    <w:rsid w:val="52151C14"/>
    <w:rsid w:val="523C1897"/>
    <w:rsid w:val="52C20B07"/>
    <w:rsid w:val="52C8312A"/>
    <w:rsid w:val="52F757BE"/>
    <w:rsid w:val="53C2401E"/>
    <w:rsid w:val="54224ABC"/>
    <w:rsid w:val="545C3B2A"/>
    <w:rsid w:val="54B7626D"/>
    <w:rsid w:val="54F2448F"/>
    <w:rsid w:val="54FC530D"/>
    <w:rsid w:val="550A7AED"/>
    <w:rsid w:val="55195EBF"/>
    <w:rsid w:val="55CC4CE0"/>
    <w:rsid w:val="561F12B3"/>
    <w:rsid w:val="56AC331E"/>
    <w:rsid w:val="56B063AF"/>
    <w:rsid w:val="57064221"/>
    <w:rsid w:val="570F30D6"/>
    <w:rsid w:val="57302597"/>
    <w:rsid w:val="57315742"/>
    <w:rsid w:val="577218B7"/>
    <w:rsid w:val="57875362"/>
    <w:rsid w:val="57961A49"/>
    <w:rsid w:val="57AF48B9"/>
    <w:rsid w:val="57C87729"/>
    <w:rsid w:val="57DD4F82"/>
    <w:rsid w:val="58242BB1"/>
    <w:rsid w:val="585B234B"/>
    <w:rsid w:val="5875165E"/>
    <w:rsid w:val="58816255"/>
    <w:rsid w:val="58AB5080"/>
    <w:rsid w:val="58DC7930"/>
    <w:rsid w:val="591A2206"/>
    <w:rsid w:val="598002BB"/>
    <w:rsid w:val="59B461B6"/>
    <w:rsid w:val="59E22D24"/>
    <w:rsid w:val="5A026F22"/>
    <w:rsid w:val="5A76346C"/>
    <w:rsid w:val="5ACD39D4"/>
    <w:rsid w:val="5AF61385"/>
    <w:rsid w:val="5B61411C"/>
    <w:rsid w:val="5BA1276A"/>
    <w:rsid w:val="5C292E8C"/>
    <w:rsid w:val="5C2A2B6C"/>
    <w:rsid w:val="5C606182"/>
    <w:rsid w:val="5C653798"/>
    <w:rsid w:val="5CCD7CBB"/>
    <w:rsid w:val="5CE2128D"/>
    <w:rsid w:val="5D276C9F"/>
    <w:rsid w:val="5D395350"/>
    <w:rsid w:val="5DB76275"/>
    <w:rsid w:val="5E157564"/>
    <w:rsid w:val="5E2E29DB"/>
    <w:rsid w:val="5E323B4E"/>
    <w:rsid w:val="5E3D2C1E"/>
    <w:rsid w:val="5E4F2B5D"/>
    <w:rsid w:val="5E510478"/>
    <w:rsid w:val="5E88428B"/>
    <w:rsid w:val="5EA904F7"/>
    <w:rsid w:val="5EAA5DDA"/>
    <w:rsid w:val="5ED82947"/>
    <w:rsid w:val="5F13397F"/>
    <w:rsid w:val="5F182D44"/>
    <w:rsid w:val="602F6597"/>
    <w:rsid w:val="604C110A"/>
    <w:rsid w:val="6089214B"/>
    <w:rsid w:val="609B3C2C"/>
    <w:rsid w:val="60B054C7"/>
    <w:rsid w:val="60F32492"/>
    <w:rsid w:val="61371BA7"/>
    <w:rsid w:val="6185082B"/>
    <w:rsid w:val="619D5782"/>
    <w:rsid w:val="61A134C4"/>
    <w:rsid w:val="621F43E9"/>
    <w:rsid w:val="624F4CCE"/>
    <w:rsid w:val="629C6AB7"/>
    <w:rsid w:val="629D7BCE"/>
    <w:rsid w:val="62C05BCC"/>
    <w:rsid w:val="62E0001C"/>
    <w:rsid w:val="63015E4A"/>
    <w:rsid w:val="630F26B0"/>
    <w:rsid w:val="633B16F7"/>
    <w:rsid w:val="63443A46"/>
    <w:rsid w:val="63513539"/>
    <w:rsid w:val="637D1D0F"/>
    <w:rsid w:val="649015CE"/>
    <w:rsid w:val="650A75D2"/>
    <w:rsid w:val="653B640A"/>
    <w:rsid w:val="654C7BEB"/>
    <w:rsid w:val="65654809"/>
    <w:rsid w:val="65897BE0"/>
    <w:rsid w:val="65C07C91"/>
    <w:rsid w:val="65C96A41"/>
    <w:rsid w:val="65CE0600"/>
    <w:rsid w:val="66320B8F"/>
    <w:rsid w:val="666D1E22"/>
    <w:rsid w:val="66882EA5"/>
    <w:rsid w:val="66CC2D91"/>
    <w:rsid w:val="66D93700"/>
    <w:rsid w:val="670342D9"/>
    <w:rsid w:val="67184229"/>
    <w:rsid w:val="677A5E8B"/>
    <w:rsid w:val="67A96C2F"/>
    <w:rsid w:val="67C1041C"/>
    <w:rsid w:val="67E27243"/>
    <w:rsid w:val="67F66B2A"/>
    <w:rsid w:val="67F81964"/>
    <w:rsid w:val="681A3FD0"/>
    <w:rsid w:val="682C160E"/>
    <w:rsid w:val="682E182A"/>
    <w:rsid w:val="689478DF"/>
    <w:rsid w:val="68EF2D67"/>
    <w:rsid w:val="696574CD"/>
    <w:rsid w:val="6985191D"/>
    <w:rsid w:val="69F85C4B"/>
    <w:rsid w:val="6A0A597F"/>
    <w:rsid w:val="6A2E5B11"/>
    <w:rsid w:val="6A334ED5"/>
    <w:rsid w:val="6A5A4B58"/>
    <w:rsid w:val="6AA162E3"/>
    <w:rsid w:val="6AAB53B4"/>
    <w:rsid w:val="6AAF0A00"/>
    <w:rsid w:val="6ACB3360"/>
    <w:rsid w:val="6AEC19A4"/>
    <w:rsid w:val="6B680BAF"/>
    <w:rsid w:val="6B7D28AC"/>
    <w:rsid w:val="6B841E8D"/>
    <w:rsid w:val="6C677AF8"/>
    <w:rsid w:val="6C7D068A"/>
    <w:rsid w:val="6CA81743"/>
    <w:rsid w:val="6D090170"/>
    <w:rsid w:val="6DC01176"/>
    <w:rsid w:val="6DFA4688"/>
    <w:rsid w:val="6E2C05BA"/>
    <w:rsid w:val="6E3F209B"/>
    <w:rsid w:val="6E492F1A"/>
    <w:rsid w:val="6E646C78"/>
    <w:rsid w:val="6E9323E7"/>
    <w:rsid w:val="6ECD58F9"/>
    <w:rsid w:val="6F0B4673"/>
    <w:rsid w:val="6F143527"/>
    <w:rsid w:val="6F1928EC"/>
    <w:rsid w:val="6F4B2CC1"/>
    <w:rsid w:val="6F983C13"/>
    <w:rsid w:val="6F9B59F7"/>
    <w:rsid w:val="6FB72E5F"/>
    <w:rsid w:val="6FDB4045"/>
    <w:rsid w:val="6FF46EB5"/>
    <w:rsid w:val="70455963"/>
    <w:rsid w:val="70773254"/>
    <w:rsid w:val="70A1535C"/>
    <w:rsid w:val="70BA3C5B"/>
    <w:rsid w:val="714B0D57"/>
    <w:rsid w:val="71883D59"/>
    <w:rsid w:val="7189187F"/>
    <w:rsid w:val="71AB5C99"/>
    <w:rsid w:val="71BC1C54"/>
    <w:rsid w:val="71EC253A"/>
    <w:rsid w:val="71EF5B86"/>
    <w:rsid w:val="71FF1D0A"/>
    <w:rsid w:val="72275320"/>
    <w:rsid w:val="727147ED"/>
    <w:rsid w:val="72914E8F"/>
    <w:rsid w:val="72AC3A77"/>
    <w:rsid w:val="72C45265"/>
    <w:rsid w:val="72CB65F3"/>
    <w:rsid w:val="72DB5307"/>
    <w:rsid w:val="73565C9B"/>
    <w:rsid w:val="73634A7D"/>
    <w:rsid w:val="739218F0"/>
    <w:rsid w:val="739E7864"/>
    <w:rsid w:val="73D2575F"/>
    <w:rsid w:val="740A6CA7"/>
    <w:rsid w:val="7431692A"/>
    <w:rsid w:val="74C90910"/>
    <w:rsid w:val="75137DDD"/>
    <w:rsid w:val="753B10E2"/>
    <w:rsid w:val="753E2D17"/>
    <w:rsid w:val="755F3023"/>
    <w:rsid w:val="757271FA"/>
    <w:rsid w:val="75947170"/>
    <w:rsid w:val="75A00298"/>
    <w:rsid w:val="75B23A9A"/>
    <w:rsid w:val="75C537CD"/>
    <w:rsid w:val="75D67789"/>
    <w:rsid w:val="76091715"/>
    <w:rsid w:val="7625601A"/>
    <w:rsid w:val="76793527"/>
    <w:rsid w:val="767E397C"/>
    <w:rsid w:val="76DE441B"/>
    <w:rsid w:val="76E71522"/>
    <w:rsid w:val="7726456A"/>
    <w:rsid w:val="77A15B74"/>
    <w:rsid w:val="77A411C1"/>
    <w:rsid w:val="77F008AA"/>
    <w:rsid w:val="77F75794"/>
    <w:rsid w:val="784F55D0"/>
    <w:rsid w:val="785250C1"/>
    <w:rsid w:val="787E1A12"/>
    <w:rsid w:val="78AC657F"/>
    <w:rsid w:val="78B905A6"/>
    <w:rsid w:val="79632F53"/>
    <w:rsid w:val="798E037A"/>
    <w:rsid w:val="79A656C4"/>
    <w:rsid w:val="79C618C2"/>
    <w:rsid w:val="7A102B3D"/>
    <w:rsid w:val="7A1B7E60"/>
    <w:rsid w:val="7A813A3B"/>
    <w:rsid w:val="7A94551C"/>
    <w:rsid w:val="7AA37E55"/>
    <w:rsid w:val="7AF759BC"/>
    <w:rsid w:val="7AF95CC7"/>
    <w:rsid w:val="7BAC2D3A"/>
    <w:rsid w:val="7BEC1388"/>
    <w:rsid w:val="7C0D1A2A"/>
    <w:rsid w:val="7C501917"/>
    <w:rsid w:val="7C725D31"/>
    <w:rsid w:val="7C743857"/>
    <w:rsid w:val="7C765946"/>
    <w:rsid w:val="7C914409"/>
    <w:rsid w:val="7C943EFA"/>
    <w:rsid w:val="7CB2612E"/>
    <w:rsid w:val="7CE0081C"/>
    <w:rsid w:val="7CEF2EDE"/>
    <w:rsid w:val="7CF60710"/>
    <w:rsid w:val="7CF84488"/>
    <w:rsid w:val="7D052701"/>
    <w:rsid w:val="7D146DE8"/>
    <w:rsid w:val="7D377278"/>
    <w:rsid w:val="7D5B67C5"/>
    <w:rsid w:val="7D9F5AE0"/>
    <w:rsid w:val="7DDB3462"/>
    <w:rsid w:val="7E1626EC"/>
    <w:rsid w:val="7E991353"/>
    <w:rsid w:val="7F5D6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2830</Words>
  <Characters>2893</Characters>
  <Lines>0</Lines>
  <Paragraphs>0</Paragraphs>
  <TotalTime>50</TotalTime>
  <ScaleCrop>false</ScaleCrop>
  <LinksUpToDate>false</LinksUpToDate>
  <CharactersWithSpaces>2894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2026-09-16T03:07:00Z</dcterms:created>
  <dc:creator>lenovo</dc:creator>
  <cp:lastModifiedBy>安卡尔江</cp:lastModifiedBy>
  <cp:lastPrinted>2026-10-19T07:23:42Z</cp:lastPrinted>
  <dcterms:modified xsi:type="dcterms:W3CDTF">2026-10-19T07:28:46Z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63EDC3C4B9B244A4BB35D5AAF5CFCB05_13</vt:lpwstr>
  </property>
  <property fmtid="{D5CDD505-2E9C-101B-9397-08002B2CF9AE}" pid="4" name="KSOTemplateDocerSaveRecord">
    <vt:lpwstr>eyJoZGlkIjoiYjAzZWI2MjhkZWQ2ZWIxY2U2YzIxMmRlMTJlMDBhNzQiLCJ1c2VySWQiOiIzODA3NDkzMDgifQ==</vt:lpwstr>
  </property>
</Properties>
</file>