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2312" w:hAnsi="方正仿宋_GB2312" w:eastAsia="方正仿宋_GB2312" w:cs="方正仿宋_GB2312"/>
          <w:sz w:val="32"/>
          <w:szCs w:val="32"/>
          <w:lang w:val="en-US" w:eastAsia="zh-CN"/>
        </w:rPr>
      </w:pPr>
      <w:r>
        <w:rPr>
          <w:rFonts w:hint="eastAsia" w:ascii="方正小标宋简体" w:hAnsi="方正小标宋简体" w:eastAsia="方正小标宋简体" w:cs="方正小标宋简体"/>
          <w:sz w:val="44"/>
          <w:szCs w:val="44"/>
          <w:lang w:val="en-US" w:eastAsia="zh-CN"/>
        </w:rPr>
        <w:t>兰州大学法学院讲座学术会议分解方案</w:t>
      </w:r>
    </w:p>
    <w:p>
      <w:pPr>
        <w:ind w:firstLine="640" w:firstLineChars="200"/>
        <w:jc w:val="both"/>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为加强有组织科研实效，提升学院学术声誉和学术影响力，特制订本方案。</w:t>
      </w:r>
    </w:p>
    <w:p>
      <w:pPr>
        <w:ind w:firstLine="640" w:firstLineChars="200"/>
        <w:jc w:val="both"/>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由各教研室主任、非实体性研究中心负责人牵头，积极邀请知名专家学者来校开展学术性讲座、举办或承办国内外学术性会议。各教研室每年应组织开展学术讲座不少于6次，主办或承办省级以上学术会议至少1次。各非实体性研究中心每年应主办或承办省级以上学术会议至少1次，主办或承办情况作为非实体性研究机构年度考核评估的重要依据。</w:t>
      </w:r>
    </w:p>
    <w:p>
      <w:pPr>
        <w:ind w:firstLine="640" w:firstLineChars="200"/>
        <w:jc w:val="both"/>
        <w:rPr>
          <w:rFonts w:hint="default" w:ascii="方正仿宋_GB2312" w:hAnsi="方正仿宋_GB2312" w:eastAsia="方正仿宋_GB2312" w:cs="方正仿宋_GB2312"/>
          <w:sz w:val="32"/>
          <w:szCs w:val="32"/>
          <w:lang w:val="en-US" w:eastAsia="zh-CN"/>
        </w:rPr>
      </w:pPr>
    </w:p>
    <w:p>
      <w:pPr>
        <w:ind w:firstLine="640" w:firstLineChars="200"/>
        <w:jc w:val="both"/>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附件：1.《兰州大学法学院讲座举办流程》</w:t>
      </w:r>
    </w:p>
    <w:p>
      <w:pPr>
        <w:numPr>
          <w:ilvl w:val="0"/>
          <w:numId w:val="0"/>
        </w:numPr>
        <w:ind w:firstLine="1600" w:firstLineChars="500"/>
        <w:jc w:val="both"/>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2.《兰州大学法学院会议举办流程》</w:t>
      </w:r>
    </w:p>
    <w:p>
      <w:pPr>
        <w:widowControl w:val="0"/>
        <w:numPr>
          <w:ilvl w:val="0"/>
          <w:numId w:val="0"/>
        </w:numPr>
        <w:jc w:val="both"/>
        <w:rPr>
          <w:rFonts w:hint="eastAsia" w:ascii="方正仿宋_GB2312" w:hAnsi="方正仿宋_GB2312" w:eastAsia="方正仿宋_GB2312" w:cs="方正仿宋_GB2312"/>
          <w:sz w:val="32"/>
          <w:szCs w:val="32"/>
          <w:lang w:val="en-US" w:eastAsia="zh-CN"/>
        </w:rPr>
      </w:pPr>
    </w:p>
    <w:p>
      <w:pPr>
        <w:widowControl w:val="0"/>
        <w:numPr>
          <w:ilvl w:val="0"/>
          <w:numId w:val="0"/>
        </w:numPr>
        <w:jc w:val="both"/>
        <w:rPr>
          <w:rFonts w:hint="eastAsia" w:ascii="方正仿宋_GB2312" w:hAnsi="方正仿宋_GB2312" w:eastAsia="方正仿宋_GB2312" w:cs="方正仿宋_GB2312"/>
          <w:sz w:val="32"/>
          <w:szCs w:val="32"/>
          <w:lang w:val="en-US" w:eastAsia="zh-CN"/>
        </w:rPr>
      </w:pPr>
    </w:p>
    <w:p>
      <w:pPr>
        <w:wordWrap w:val="0"/>
        <w:ind w:firstLine="640" w:firstLineChars="200"/>
        <w:jc w:val="right"/>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法学院     </w:t>
      </w:r>
    </w:p>
    <w:p>
      <w:pPr>
        <w:jc w:val="righ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2024年4月17日</w:t>
      </w:r>
    </w:p>
    <w:p>
      <w:pPr>
        <w:jc w:val="right"/>
        <w:rPr>
          <w:rFonts w:hint="eastAsia" w:ascii="方正仿宋_GB2312" w:hAnsi="方正仿宋_GB2312" w:eastAsia="方正仿宋_GB2312" w:cs="方正仿宋_GB2312"/>
          <w:sz w:val="32"/>
          <w:szCs w:val="32"/>
          <w:lang w:val="en-US" w:eastAsia="zh-CN"/>
        </w:rPr>
      </w:pPr>
    </w:p>
    <w:p>
      <w:pPr>
        <w:jc w:val="right"/>
        <w:rPr>
          <w:rFonts w:hint="eastAsia" w:ascii="方正仿宋_GB2312" w:hAnsi="方正仿宋_GB2312" w:eastAsia="方正仿宋_GB2312" w:cs="方正仿宋_GB2312"/>
          <w:sz w:val="32"/>
          <w:szCs w:val="32"/>
          <w:lang w:val="en-US" w:eastAsia="zh-CN"/>
        </w:rPr>
      </w:pPr>
    </w:p>
    <w:p>
      <w:pPr>
        <w:jc w:val="right"/>
        <w:rPr>
          <w:rFonts w:hint="eastAsia" w:ascii="方正仿宋_GB2312" w:hAnsi="方正仿宋_GB2312" w:eastAsia="方正仿宋_GB2312" w:cs="方正仿宋_GB2312"/>
          <w:sz w:val="32"/>
          <w:szCs w:val="32"/>
          <w:lang w:val="en-US" w:eastAsia="zh-CN"/>
        </w:rPr>
      </w:pPr>
    </w:p>
    <w:p>
      <w:pPr>
        <w:jc w:val="right"/>
        <w:rPr>
          <w:rFonts w:hint="eastAsia" w:ascii="方正仿宋_GB2312" w:hAnsi="方正仿宋_GB2312" w:eastAsia="方正仿宋_GB2312" w:cs="方正仿宋_GB2312"/>
          <w:sz w:val="32"/>
          <w:szCs w:val="32"/>
          <w:lang w:val="en-US" w:eastAsia="zh-CN"/>
        </w:rPr>
      </w:pPr>
    </w:p>
    <w:p>
      <w:pPr>
        <w:jc w:val="both"/>
        <w:rPr>
          <w:rFonts w:hint="eastAsia" w:ascii="黑体" w:hAnsi="黑体" w:eastAsia="黑体" w:cs="黑体"/>
          <w:sz w:val="32"/>
          <w:szCs w:val="32"/>
          <w:lang w:val="en-US" w:eastAsia="zh-CN"/>
        </w:rPr>
      </w:pPr>
    </w:p>
    <w:p>
      <w:pPr>
        <w:jc w:val="both"/>
        <w:rPr>
          <w:rFonts w:hint="eastAsia" w:ascii="黑体" w:hAnsi="黑体" w:eastAsia="黑体" w:cs="黑体"/>
          <w:sz w:val="32"/>
          <w:szCs w:val="32"/>
          <w:lang w:val="en-US" w:eastAsia="zh-CN"/>
        </w:rPr>
      </w:pP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jc w:val="both"/>
        <w:rPr>
          <w:rFonts w:hint="eastAsia" w:ascii="仿宋" w:hAnsi="仿宋" w:eastAsia="仿宋" w:cs="仿宋"/>
          <w:sz w:val="32"/>
          <w:szCs w:val="32"/>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兰州大学法学院讲座举办流程</w:t>
      </w:r>
    </w:p>
    <w:p>
      <w:pPr>
        <w:ind w:firstLine="640" w:firstLineChars="200"/>
        <w:jc w:val="both"/>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本流程适用于邀请校外知名专家学者来院讲座，讲座类型为“兰州大学萃英大讲堂”系列讲座、“兰州大学法学院卓越法律人才”系列讲座，由相近学科方向的教研室安排专任教师为讲座筹备人跟进讲座全过程。</w:t>
      </w:r>
    </w:p>
    <w:p>
      <w:pPr>
        <w:ind w:firstLine="643" w:firstLineChars="200"/>
        <w:jc w:val="both"/>
        <w:rPr>
          <w:rFonts w:hint="default"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一、讲座准备</w:t>
      </w:r>
    </w:p>
    <w:p>
      <w:pPr>
        <w:ind w:firstLine="640" w:firstLineChars="200"/>
        <w:jc w:val="both"/>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1.筹备人向分管领导汇报拟邀专家学者的相关情况，确定讲座类型、沟通学院讲学资助情况（是否提供酬金、国内差旅费、住宿费)。</w:t>
      </w:r>
    </w:p>
    <w:p>
      <w:pPr>
        <w:ind w:firstLine="640" w:firstLineChars="200"/>
        <w:jc w:val="both"/>
        <w:rPr>
          <w:rFonts w:hint="default"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highlight w:val="none"/>
          <w:lang w:val="en-US" w:eastAsia="zh-CN"/>
        </w:rPr>
        <w:t>筹备人联系研究生教学秘书（宋家蕊）或本科生教学秘书（冯颖）了解学生课程信息，务必避开相近学科方向学生的上课时间，同时应考虑学院大多数师生的参与情况，针对同一受众、同一研究领域的讲座，建议每周安排适当场次，合理确定讲座举办时间；联系</w:t>
      </w:r>
      <w:r>
        <w:rPr>
          <w:rFonts w:hint="eastAsia" w:ascii="方正仿宋_GB2312" w:hAnsi="方正仿宋_GB2312" w:eastAsia="方正仿宋_GB2312" w:cs="方正仿宋_GB2312"/>
          <w:sz w:val="32"/>
          <w:szCs w:val="32"/>
          <w:highlight w:val="none"/>
        </w:rPr>
        <w:t>学院办公室老师</w:t>
      </w:r>
      <w:r>
        <w:rPr>
          <w:rFonts w:hint="eastAsia" w:ascii="方正仿宋_GB2312" w:hAnsi="方正仿宋_GB2312" w:eastAsia="方正仿宋_GB2312" w:cs="方正仿宋_GB2312"/>
          <w:sz w:val="32"/>
          <w:szCs w:val="32"/>
          <w:highlight w:val="none"/>
          <w:lang w:eastAsia="zh-CN"/>
        </w:rPr>
        <w:t>（</w:t>
      </w:r>
      <w:r>
        <w:rPr>
          <w:rFonts w:hint="eastAsia" w:ascii="方正仿宋_GB2312" w:hAnsi="方正仿宋_GB2312" w:eastAsia="方正仿宋_GB2312" w:cs="方正仿宋_GB2312"/>
          <w:sz w:val="32"/>
          <w:szCs w:val="32"/>
          <w:highlight w:val="none"/>
          <w:lang w:val="en-US" w:eastAsia="zh-CN"/>
        </w:rPr>
        <w:t>张雅婷</w:t>
      </w:r>
      <w:r>
        <w:rPr>
          <w:rFonts w:hint="eastAsia" w:ascii="方正仿宋_GB2312" w:hAnsi="方正仿宋_GB2312" w:eastAsia="方正仿宋_GB2312" w:cs="方正仿宋_GB2312"/>
          <w:sz w:val="32"/>
          <w:szCs w:val="32"/>
          <w:highlight w:val="none"/>
          <w:lang w:eastAsia="zh-CN"/>
        </w:rPr>
        <w:t>）</w:t>
      </w:r>
      <w:r>
        <w:rPr>
          <w:rFonts w:hint="eastAsia" w:ascii="方正仿宋_GB2312" w:hAnsi="方正仿宋_GB2312" w:eastAsia="方正仿宋_GB2312" w:cs="方正仿宋_GB2312"/>
          <w:sz w:val="32"/>
          <w:szCs w:val="32"/>
          <w:highlight w:val="none"/>
          <w:lang w:val="en-US" w:eastAsia="zh-CN"/>
        </w:rPr>
        <w:t>确定讲座举办地点。</w:t>
      </w:r>
    </w:p>
    <w:p>
      <w:pPr>
        <w:ind w:firstLine="640" w:firstLineChars="200"/>
        <w:jc w:val="both"/>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3.筹备人登录个人OA工作平台-流程，发起《 兰州大学形势报告会和哲学社会科学报告会等活动审批表》。</w:t>
      </w:r>
    </w:p>
    <w:p>
      <w:pPr>
        <w:numPr>
          <w:ilvl w:val="0"/>
          <w:numId w:val="0"/>
        </w:numPr>
        <w:ind w:firstLine="640" w:firstLineChars="200"/>
        <w:jc w:val="both"/>
        <w:rPr>
          <w:rFonts w:hint="default"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4.报批通过后，筹备人联系广告公司（远鹏印务13359316687或文鑫印务13893227942）制作讲座海报；通知并组织相近学科方向、</w:t>
      </w:r>
      <w:r>
        <w:rPr>
          <w:rFonts w:hint="eastAsia" w:ascii="方正仿宋_GB2312" w:hAnsi="方正仿宋_GB2312" w:eastAsia="方正仿宋_GB2312" w:cs="方正仿宋_GB2312"/>
          <w:sz w:val="32"/>
          <w:szCs w:val="32"/>
          <w:highlight w:val="none"/>
        </w:rPr>
        <w:t>动员其他学科方向的</w:t>
      </w:r>
      <w:r>
        <w:rPr>
          <w:rFonts w:hint="eastAsia" w:ascii="方正仿宋_GB2312" w:hAnsi="方正仿宋_GB2312" w:eastAsia="方正仿宋_GB2312" w:cs="方正仿宋_GB2312"/>
          <w:sz w:val="32"/>
          <w:szCs w:val="32"/>
          <w:highlight w:val="none"/>
          <w:lang w:val="en-US" w:eastAsia="zh-CN"/>
        </w:rPr>
        <w:t xml:space="preserve">师生参加讲座，参加人数一般不少于60人；联系学院办公室老师（张雅婷）和研究生辅导员（张雅宁）在学院、学校官网、官微发布讲座通知；联系学院办公室老师（张雅婷）获取会议室门禁权限，提前布置场地、检查设备等。 </w:t>
      </w:r>
    </w:p>
    <w:p>
      <w:pPr>
        <w:numPr>
          <w:ilvl w:val="0"/>
          <w:numId w:val="0"/>
        </w:numPr>
        <w:ind w:firstLine="643" w:firstLineChars="200"/>
        <w:jc w:val="both"/>
        <w:rPr>
          <w:rFonts w:hint="default" w:ascii="方正仿宋_GB2312" w:hAnsi="方正仿宋_GB2312" w:eastAsia="方正仿宋_GB2312" w:cs="方正仿宋_GB2312"/>
          <w:b/>
          <w:bCs/>
          <w:sz w:val="32"/>
          <w:szCs w:val="32"/>
          <w:highlight w:val="none"/>
          <w:lang w:val="en-US" w:eastAsia="zh-CN"/>
        </w:rPr>
      </w:pPr>
      <w:r>
        <w:rPr>
          <w:rFonts w:hint="eastAsia" w:ascii="方正仿宋_GB2312" w:hAnsi="方正仿宋_GB2312" w:eastAsia="方正仿宋_GB2312" w:cs="方正仿宋_GB2312"/>
          <w:b/>
          <w:bCs/>
          <w:sz w:val="32"/>
          <w:szCs w:val="32"/>
          <w:highlight w:val="none"/>
          <w:lang w:val="en-US" w:eastAsia="zh-CN"/>
        </w:rPr>
        <w:t>二、讲座结束</w:t>
      </w:r>
    </w:p>
    <w:p>
      <w:pPr>
        <w:numPr>
          <w:ilvl w:val="0"/>
          <w:numId w:val="0"/>
        </w:numPr>
        <w:ind w:leftChars="0" w:firstLine="640" w:firstLineChars="200"/>
        <w:jc w:val="both"/>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1.筹备人联系学院办公室老师（张雅婷）和研究生辅导员（张雅宁）在学院、学校官网、官微发布讲座新闻稿。</w:t>
      </w:r>
    </w:p>
    <w:p>
      <w:pPr>
        <w:numPr>
          <w:ilvl w:val="0"/>
          <w:numId w:val="0"/>
        </w:numPr>
        <w:ind w:leftChars="0" w:firstLine="640" w:firstLineChars="200"/>
        <w:jc w:val="both"/>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2.筹备人将讲座类型、讲座时长、受邀专家学者姓名、身份证号、银行卡卡号、开户行全称、报销凭证等反馈至学院办公室老师（吴立</w:t>
      </w:r>
      <w:r>
        <w:rPr>
          <w:rFonts w:hint="eastAsia" w:ascii="方正仿宋_GBK" w:hAnsi="方正仿宋_GBK" w:eastAsia="方正仿宋_GBK" w:cs="方正仿宋_GBK"/>
          <w:sz w:val="32"/>
          <w:szCs w:val="32"/>
          <w:highlight w:val="none"/>
          <w:lang w:val="en-US" w:eastAsia="zh-CN"/>
        </w:rPr>
        <w:t>珺</w:t>
      </w:r>
      <w:r>
        <w:rPr>
          <w:rFonts w:hint="eastAsia" w:ascii="方正仿宋_GB2312" w:hAnsi="方正仿宋_GB2312" w:eastAsia="方正仿宋_GB2312" w:cs="方正仿宋_GB2312"/>
          <w:sz w:val="32"/>
          <w:szCs w:val="32"/>
          <w:highlight w:val="none"/>
          <w:lang w:val="en-US" w:eastAsia="zh-CN"/>
        </w:rPr>
        <w:t>）申请</w:t>
      </w:r>
      <w:r>
        <w:rPr>
          <w:rFonts w:hint="eastAsia" w:ascii="方正仿宋_GB2312" w:hAnsi="方正仿宋_GB2312" w:eastAsia="方正仿宋_GB2312" w:cs="方正仿宋_GB2312"/>
          <w:sz w:val="32"/>
          <w:szCs w:val="32"/>
          <w:lang w:val="en-US" w:eastAsia="zh-CN"/>
        </w:rPr>
        <w:t>学院讲学资助</w:t>
      </w:r>
      <w:r>
        <w:rPr>
          <w:rFonts w:hint="eastAsia" w:ascii="方正仿宋_GB2312" w:hAnsi="方正仿宋_GB2312" w:eastAsia="方正仿宋_GB2312" w:cs="方正仿宋_GB2312"/>
          <w:sz w:val="32"/>
          <w:szCs w:val="32"/>
          <w:highlight w:val="none"/>
          <w:lang w:val="en-US" w:eastAsia="zh-CN"/>
        </w:rPr>
        <w:t>。</w:t>
      </w:r>
    </w:p>
    <w:p>
      <w:pPr>
        <w:numPr>
          <w:ilvl w:val="0"/>
          <w:numId w:val="0"/>
        </w:numPr>
        <w:ind w:leftChars="0" w:firstLine="640" w:firstLineChars="200"/>
        <w:jc w:val="both"/>
        <w:rPr>
          <w:rFonts w:hint="default"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3</w:t>
      </w:r>
      <w:r>
        <w:rPr>
          <w:rFonts w:hint="default" w:ascii="方正仿宋_GB2312" w:hAnsi="方正仿宋_GB2312" w:eastAsia="方正仿宋_GB2312" w:cs="方正仿宋_GB2312"/>
          <w:sz w:val="32"/>
          <w:szCs w:val="32"/>
          <w:highlight w:val="none"/>
          <w:lang w:val="en-US" w:eastAsia="zh-CN"/>
        </w:rPr>
        <w:t>.讲座类型为“兰州大学萃英大讲堂”系列讲座的，筹备人填写《兰州大学聘请知名专家学者来校讲学资助申请表》（见学校人力资源部网站主页-政策法规-校内规章-讲学资助办法），反馈至</w:t>
      </w:r>
      <w:r>
        <w:rPr>
          <w:rFonts w:hint="eastAsia" w:ascii="方正仿宋_GB2312" w:hAnsi="方正仿宋_GB2312" w:eastAsia="方正仿宋_GB2312" w:cs="方正仿宋_GB2312"/>
          <w:sz w:val="32"/>
          <w:szCs w:val="32"/>
          <w:highlight w:val="none"/>
          <w:lang w:val="en-US" w:eastAsia="zh-CN"/>
        </w:rPr>
        <w:t>科研秘书（沈怡楠）</w:t>
      </w:r>
      <w:r>
        <w:rPr>
          <w:rFonts w:hint="default" w:ascii="方正仿宋_GB2312" w:hAnsi="方正仿宋_GB2312" w:eastAsia="方正仿宋_GB2312" w:cs="方正仿宋_GB2312"/>
          <w:sz w:val="32"/>
          <w:szCs w:val="32"/>
          <w:highlight w:val="none"/>
          <w:lang w:val="en-US" w:eastAsia="zh-CN"/>
        </w:rPr>
        <w:t>申请学校讲学资助。</w:t>
      </w:r>
    </w:p>
    <w:p>
      <w:pPr>
        <w:rPr>
          <w:highlight w:val="none"/>
        </w:rPr>
      </w:pPr>
    </w:p>
    <w:p>
      <w:pPr>
        <w:jc w:val="right"/>
        <w:rPr>
          <w:rFonts w:hint="default" w:ascii="方正仿宋_GB2312" w:hAnsi="方正仿宋_GB2312" w:eastAsia="方正仿宋_GB2312" w:cs="方正仿宋_GB2312"/>
          <w:sz w:val="32"/>
          <w:szCs w:val="32"/>
          <w:lang w:val="en-US" w:eastAsia="zh-CN"/>
        </w:rPr>
      </w:pPr>
    </w:p>
    <w:p>
      <w:pPr>
        <w:jc w:val="right"/>
        <w:rPr>
          <w:rFonts w:hint="default" w:ascii="方正仿宋_GB2312" w:hAnsi="方正仿宋_GB2312" w:eastAsia="方正仿宋_GB2312" w:cs="方正仿宋_GB2312"/>
          <w:sz w:val="32"/>
          <w:szCs w:val="32"/>
          <w:lang w:val="en-US" w:eastAsia="zh-CN"/>
        </w:rPr>
      </w:pPr>
    </w:p>
    <w:p>
      <w:pPr>
        <w:jc w:val="right"/>
        <w:rPr>
          <w:rFonts w:hint="default" w:ascii="方正仿宋_GB2312" w:hAnsi="方正仿宋_GB2312" w:eastAsia="方正仿宋_GB2312" w:cs="方正仿宋_GB2312"/>
          <w:sz w:val="32"/>
          <w:szCs w:val="32"/>
          <w:lang w:val="en-US" w:eastAsia="zh-CN"/>
        </w:rPr>
      </w:pPr>
    </w:p>
    <w:p>
      <w:pPr>
        <w:jc w:val="right"/>
        <w:rPr>
          <w:rFonts w:hint="default" w:ascii="方正仿宋_GB2312" w:hAnsi="方正仿宋_GB2312" w:eastAsia="方正仿宋_GB2312" w:cs="方正仿宋_GB2312"/>
          <w:sz w:val="32"/>
          <w:szCs w:val="32"/>
          <w:lang w:val="en-US" w:eastAsia="zh-CN"/>
        </w:rPr>
      </w:pPr>
    </w:p>
    <w:p>
      <w:pPr>
        <w:jc w:val="right"/>
        <w:rPr>
          <w:rFonts w:hint="default" w:ascii="方正仿宋_GB2312" w:hAnsi="方正仿宋_GB2312" w:eastAsia="方正仿宋_GB2312" w:cs="方正仿宋_GB2312"/>
          <w:sz w:val="32"/>
          <w:szCs w:val="32"/>
          <w:lang w:val="en-US" w:eastAsia="zh-CN"/>
        </w:rPr>
      </w:pPr>
    </w:p>
    <w:p>
      <w:pPr>
        <w:jc w:val="right"/>
        <w:rPr>
          <w:rFonts w:hint="default" w:ascii="方正仿宋_GB2312" w:hAnsi="方正仿宋_GB2312" w:eastAsia="方正仿宋_GB2312" w:cs="方正仿宋_GB2312"/>
          <w:sz w:val="32"/>
          <w:szCs w:val="32"/>
          <w:lang w:val="en-US" w:eastAsia="zh-CN"/>
        </w:rPr>
      </w:pPr>
      <w:bookmarkStart w:id="0" w:name="_GoBack"/>
      <w:bookmarkEnd w:id="0"/>
    </w:p>
    <w:p>
      <w:pPr>
        <w:jc w:val="both"/>
        <w:rPr>
          <w:rFonts w:hint="eastAsia" w:ascii="仿宋" w:hAnsi="仿宋" w:eastAsia="仿宋" w:cs="仿宋"/>
          <w:sz w:val="32"/>
          <w:szCs w:val="32"/>
          <w:lang w:val="en-US" w:eastAsia="zh-CN"/>
        </w:rPr>
      </w:pP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jc w:val="right"/>
        <w:rPr>
          <w:rFonts w:hint="default" w:ascii="方正仿宋_GB2312" w:hAnsi="方正仿宋_GB2312" w:eastAsia="方正仿宋_GB2312" w:cs="方正仿宋_GB2312"/>
          <w:sz w:val="32"/>
          <w:szCs w:val="32"/>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兰州大学法学院会议举办流程</w:t>
      </w:r>
    </w:p>
    <w:p>
      <w:pPr>
        <w:numPr>
          <w:ilvl w:val="0"/>
          <w:numId w:val="0"/>
        </w:numPr>
        <w:ind w:firstLine="640" w:firstLineChars="200"/>
        <w:jc w:val="lef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本流程适用于学院主办/承办学术会议，非实体性研究中心主任或教研室主任、相关学科方向的专任教师应为会议筹办人跟进会议全过程。</w:t>
      </w:r>
    </w:p>
    <w:p>
      <w:pPr>
        <w:numPr>
          <w:ilvl w:val="0"/>
          <w:numId w:val="0"/>
        </w:numPr>
        <w:ind w:leftChars="0" w:firstLine="640" w:firstLineChars="200"/>
        <w:jc w:val="both"/>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一、筹办人向分管领导提交主办/承办学术会议书面申请及《兰州大学法学院会议审批备案表》（表一），由学院党组织按照意识形态阵地管理要求进行把关、并提请党政联系会议审议。</w:t>
      </w:r>
    </w:p>
    <w:p>
      <w:pPr>
        <w:ind w:firstLine="640" w:firstLineChars="200"/>
        <w:jc w:val="both"/>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二、学院同意后，筹办人在个人OA工作平台-流程发起《兰州大学形势报告会和哲学社会科学报告会等活动审批表》。</w:t>
      </w:r>
    </w:p>
    <w:p>
      <w:pPr>
        <w:numPr>
          <w:ilvl w:val="0"/>
          <w:numId w:val="0"/>
        </w:numPr>
        <w:ind w:firstLine="640" w:firstLineChars="200"/>
        <w:jc w:val="both"/>
        <w:rPr>
          <w:rFonts w:hint="default"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三、审批通过后，</w:t>
      </w:r>
      <w:r>
        <w:rPr>
          <w:rFonts w:hint="eastAsia" w:ascii="方正仿宋_GB2312" w:hAnsi="方正仿宋_GB2312" w:eastAsia="方正仿宋_GB2312" w:cs="方正仿宋_GB2312"/>
          <w:sz w:val="32"/>
          <w:szCs w:val="32"/>
          <w:lang w:val="en-US" w:eastAsia="zh-CN"/>
        </w:rPr>
        <w:t>筹办人</w:t>
      </w:r>
      <w:r>
        <w:rPr>
          <w:rFonts w:hint="eastAsia" w:ascii="方正仿宋_GB2312" w:hAnsi="方正仿宋_GB2312" w:eastAsia="方正仿宋_GB2312" w:cs="方正仿宋_GB2312"/>
          <w:sz w:val="32"/>
          <w:szCs w:val="32"/>
          <w:highlight w:val="none"/>
          <w:lang w:val="en-US" w:eastAsia="zh-CN"/>
        </w:rPr>
        <w:t>做会议准备工作，如有需要，提前一周向学院办公室提交《兰州大学法学院会务协助清单》（表二</w:t>
      </w:r>
      <w:r>
        <w:rPr>
          <w:rFonts w:hint="eastAsia"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sz w:val="32"/>
          <w:szCs w:val="32"/>
          <w:highlight w:val="none"/>
          <w:lang w:val="en-US" w:eastAsia="zh-CN"/>
        </w:rPr>
        <w:t>。</w:t>
      </w:r>
    </w:p>
    <w:p>
      <w:pPr>
        <w:numPr>
          <w:ilvl w:val="0"/>
          <w:numId w:val="0"/>
        </w:numPr>
        <w:ind w:firstLine="640" w:firstLineChars="200"/>
        <w:jc w:val="both"/>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四、会议结束后，筹办人联系资产管理员在学院、学校官网发布会议新闻稿，联系办公室主任办理会议报销。</w:t>
      </w:r>
    </w:p>
    <w:p>
      <w:pPr>
        <w:numPr>
          <w:ilvl w:val="0"/>
          <w:numId w:val="0"/>
        </w:numPr>
        <w:ind w:firstLine="640" w:firstLineChars="200"/>
        <w:jc w:val="both"/>
        <w:rPr>
          <w:rFonts w:hint="eastAsia" w:ascii="方正仿宋_GB2312" w:hAnsi="方正仿宋_GB2312" w:eastAsia="方正仿宋_GB2312" w:cs="方正仿宋_GB2312"/>
          <w:sz w:val="32"/>
          <w:szCs w:val="32"/>
          <w:lang w:val="en-US" w:eastAsia="zh-CN"/>
        </w:rPr>
      </w:pPr>
    </w:p>
    <w:p>
      <w:pPr>
        <w:numPr>
          <w:ilvl w:val="0"/>
          <w:numId w:val="0"/>
        </w:numPr>
        <w:ind w:firstLine="640" w:firstLineChars="200"/>
        <w:jc w:val="both"/>
        <w:rPr>
          <w:rFonts w:hint="eastAsia" w:ascii="方正仿宋_GB2312" w:hAnsi="方正仿宋_GB2312" w:eastAsia="方正仿宋_GB2312" w:cs="方正仿宋_GB2312"/>
          <w:sz w:val="32"/>
          <w:szCs w:val="32"/>
          <w:lang w:val="en-US" w:eastAsia="zh-CN"/>
        </w:rPr>
      </w:pPr>
    </w:p>
    <w:p>
      <w:pPr>
        <w:numPr>
          <w:ilvl w:val="0"/>
          <w:numId w:val="0"/>
        </w:numPr>
        <w:ind w:firstLine="640" w:firstLineChars="200"/>
        <w:jc w:val="both"/>
        <w:rPr>
          <w:rFonts w:hint="eastAsia" w:ascii="方正仿宋_GB2312" w:hAnsi="方正仿宋_GB2312" w:eastAsia="方正仿宋_GB2312" w:cs="方正仿宋_GB2312"/>
          <w:sz w:val="32"/>
          <w:szCs w:val="32"/>
          <w:lang w:val="en-US" w:eastAsia="zh-CN"/>
        </w:rPr>
      </w:pPr>
    </w:p>
    <w:p>
      <w:pPr>
        <w:numPr>
          <w:ilvl w:val="0"/>
          <w:numId w:val="0"/>
        </w:numPr>
        <w:jc w:val="left"/>
        <w:rPr>
          <w:rFonts w:hint="eastAsia" w:ascii="黑体" w:hAnsi="黑体" w:eastAsia="黑体" w:cs="黑体"/>
          <w:sz w:val="32"/>
          <w:szCs w:val="32"/>
          <w:lang w:val="en-US" w:eastAsia="zh-CN"/>
        </w:rPr>
      </w:pPr>
    </w:p>
    <w:p>
      <w:pPr>
        <w:numPr>
          <w:ilvl w:val="0"/>
          <w:numId w:val="0"/>
        </w:num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表一：</w:t>
      </w:r>
    </w:p>
    <w:p>
      <w:pPr>
        <w:numPr>
          <w:ilvl w:val="0"/>
          <w:numId w:val="0"/>
        </w:num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兰州大学法学院会议审批备案表</w:t>
      </w:r>
    </w:p>
    <w:tbl>
      <w:tblPr>
        <w:tblStyle w:val="3"/>
        <w:tblW w:w="10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1936"/>
        <w:gridCol w:w="1409"/>
        <w:gridCol w:w="1980"/>
        <w:gridCol w:w="2101"/>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30" w:type="dxa"/>
            <w:vAlign w:val="center"/>
          </w:tcPr>
          <w:p>
            <w:pPr>
              <w:numPr>
                <w:ilvl w:val="0"/>
                <w:numId w:val="0"/>
              </w:num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筹办人姓名</w:t>
            </w:r>
          </w:p>
        </w:tc>
        <w:tc>
          <w:tcPr>
            <w:tcW w:w="1936" w:type="dxa"/>
            <w:vAlign w:val="center"/>
          </w:tcPr>
          <w:p>
            <w:pPr>
              <w:numPr>
                <w:ilvl w:val="0"/>
                <w:numId w:val="0"/>
              </w:numPr>
              <w:jc w:val="center"/>
              <w:rPr>
                <w:rFonts w:hint="eastAsia" w:asciiTheme="minorEastAsia" w:hAnsiTheme="minorEastAsia" w:eastAsiaTheme="minorEastAsia" w:cstheme="minorEastAsia"/>
                <w:sz w:val="24"/>
                <w:szCs w:val="24"/>
                <w:vertAlign w:val="baseline"/>
                <w:lang w:val="en-US" w:eastAsia="zh-CN"/>
              </w:rPr>
            </w:pPr>
          </w:p>
        </w:tc>
        <w:tc>
          <w:tcPr>
            <w:tcW w:w="1409" w:type="dxa"/>
            <w:vAlign w:val="center"/>
          </w:tcPr>
          <w:p>
            <w:pPr>
              <w:numPr>
                <w:ilvl w:val="0"/>
                <w:numId w:val="0"/>
              </w:num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职务</w:t>
            </w:r>
          </w:p>
        </w:tc>
        <w:tc>
          <w:tcPr>
            <w:tcW w:w="1980" w:type="dxa"/>
            <w:vAlign w:val="center"/>
          </w:tcPr>
          <w:p>
            <w:pPr>
              <w:numPr>
                <w:ilvl w:val="0"/>
                <w:numId w:val="0"/>
              </w:numPr>
              <w:jc w:val="center"/>
              <w:rPr>
                <w:rFonts w:hint="eastAsia" w:asciiTheme="minorEastAsia" w:hAnsiTheme="minorEastAsia" w:eastAsiaTheme="minorEastAsia" w:cstheme="minorEastAsia"/>
                <w:b w:val="0"/>
                <w:bCs w:val="0"/>
                <w:sz w:val="24"/>
                <w:szCs w:val="24"/>
                <w:vertAlign w:val="baseline"/>
                <w:lang w:val="en-US" w:eastAsia="zh-CN"/>
              </w:rPr>
            </w:pPr>
          </w:p>
        </w:tc>
        <w:tc>
          <w:tcPr>
            <w:tcW w:w="2101" w:type="dxa"/>
            <w:vAlign w:val="center"/>
          </w:tcPr>
          <w:p>
            <w:pPr>
              <w:numPr>
                <w:ilvl w:val="0"/>
                <w:numId w:val="0"/>
              </w:num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职称</w:t>
            </w:r>
          </w:p>
        </w:tc>
        <w:tc>
          <w:tcPr>
            <w:tcW w:w="1237" w:type="dxa"/>
            <w:vAlign w:val="center"/>
          </w:tcPr>
          <w:p>
            <w:pPr>
              <w:numPr>
                <w:ilvl w:val="0"/>
                <w:numId w:val="0"/>
              </w:numPr>
              <w:jc w:val="center"/>
              <w:rPr>
                <w:rFonts w:hint="default"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30" w:type="dxa"/>
            <w:vAlign w:val="center"/>
          </w:tcPr>
          <w:p>
            <w:pPr>
              <w:numPr>
                <w:ilvl w:val="0"/>
                <w:numId w:val="0"/>
              </w:num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筹办组织</w:t>
            </w:r>
          </w:p>
        </w:tc>
        <w:tc>
          <w:tcPr>
            <w:tcW w:w="8663" w:type="dxa"/>
            <w:gridSpan w:val="5"/>
            <w:vAlign w:val="center"/>
          </w:tcPr>
          <w:p>
            <w:pPr>
              <w:numPr>
                <w:ilvl w:val="0"/>
                <w:numId w:val="0"/>
              </w:numPr>
              <w:tabs>
                <w:tab w:val="left" w:pos="2563"/>
              </w:tabs>
              <w:jc w:val="left"/>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color w:val="FF0000"/>
                <w:sz w:val="24"/>
                <w:szCs w:val="24"/>
                <w:vertAlign w:val="baseline"/>
                <w:lang w:val="en-US" w:eastAsia="zh-CN"/>
              </w:rPr>
              <w:t>选填：第X教研室/挂靠学院的非实体性研究机构</w:t>
            </w:r>
            <w:r>
              <w:rPr>
                <w:rFonts w:hint="eastAsia" w:asciiTheme="minorEastAsia" w:hAnsiTheme="minorEastAsia" w:cstheme="minorEastAsia"/>
                <w:b w:val="0"/>
                <w:bCs w:val="0"/>
                <w:color w:val="FF0000"/>
                <w:sz w:val="24"/>
                <w:szCs w:val="24"/>
                <w:vertAlign w:val="baseline"/>
                <w:lang w:val="en-US" w:eastAsia="zh-CN"/>
              </w:rPr>
              <w:t>名称</w:t>
            </w:r>
            <w:r>
              <w:rPr>
                <w:rFonts w:hint="eastAsia" w:asciiTheme="minorEastAsia" w:hAnsiTheme="minorEastAsia" w:eastAsiaTheme="minorEastAsia" w:cstheme="minorEastAsia"/>
                <w:b w:val="0"/>
                <w:bCs w:val="0"/>
                <w:color w:val="FF0000"/>
                <w:sz w:val="24"/>
                <w:szCs w:val="24"/>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30" w:type="dxa"/>
            <w:vAlign w:val="center"/>
          </w:tcPr>
          <w:p>
            <w:pPr>
              <w:numPr>
                <w:ilvl w:val="0"/>
                <w:numId w:val="0"/>
              </w:num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会议名称</w:t>
            </w:r>
          </w:p>
        </w:tc>
        <w:tc>
          <w:tcPr>
            <w:tcW w:w="8663" w:type="dxa"/>
            <w:gridSpan w:val="5"/>
            <w:vAlign w:val="center"/>
          </w:tcPr>
          <w:p>
            <w:pPr>
              <w:numPr>
                <w:ilvl w:val="0"/>
                <w:numId w:val="0"/>
              </w:numPr>
              <w:jc w:val="left"/>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30" w:type="dxa"/>
            <w:vAlign w:val="center"/>
          </w:tcPr>
          <w:p>
            <w:pPr>
              <w:numPr>
                <w:ilvl w:val="0"/>
                <w:numId w:val="0"/>
              </w:num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会议时间</w:t>
            </w:r>
          </w:p>
        </w:tc>
        <w:tc>
          <w:tcPr>
            <w:tcW w:w="3345" w:type="dxa"/>
            <w:gridSpan w:val="2"/>
            <w:vAlign w:val="center"/>
          </w:tcPr>
          <w:p>
            <w:pPr>
              <w:numPr>
                <w:ilvl w:val="0"/>
                <w:numId w:val="0"/>
              </w:numPr>
              <w:jc w:val="center"/>
              <w:rPr>
                <w:rFonts w:hint="eastAsia" w:asciiTheme="minorEastAsia" w:hAnsiTheme="minorEastAsia" w:eastAsiaTheme="minorEastAsia" w:cstheme="minorEastAsia"/>
                <w:b w:val="0"/>
                <w:bCs w:val="0"/>
                <w:sz w:val="24"/>
                <w:szCs w:val="24"/>
                <w:vertAlign w:val="baseline"/>
                <w:lang w:val="en-US" w:eastAsia="zh-CN"/>
              </w:rPr>
            </w:pPr>
          </w:p>
        </w:tc>
        <w:tc>
          <w:tcPr>
            <w:tcW w:w="1980" w:type="dxa"/>
            <w:vAlign w:val="center"/>
          </w:tcPr>
          <w:p>
            <w:pPr>
              <w:numPr>
                <w:ilvl w:val="0"/>
                <w:numId w:val="0"/>
              </w:num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会议地点</w:t>
            </w:r>
          </w:p>
        </w:tc>
        <w:tc>
          <w:tcPr>
            <w:tcW w:w="3338" w:type="dxa"/>
            <w:gridSpan w:val="2"/>
            <w:vAlign w:val="center"/>
          </w:tcPr>
          <w:p>
            <w:pPr>
              <w:numPr>
                <w:ilvl w:val="0"/>
                <w:numId w:val="0"/>
              </w:numPr>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30" w:type="dxa"/>
            <w:vAlign w:val="center"/>
          </w:tcPr>
          <w:p>
            <w:pPr>
              <w:numPr>
                <w:ilvl w:val="0"/>
                <w:numId w:val="0"/>
              </w:numPr>
              <w:jc w:val="center"/>
              <w:rPr>
                <w:rFonts w:hint="default"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会议级别</w:t>
            </w:r>
          </w:p>
        </w:tc>
        <w:tc>
          <w:tcPr>
            <w:tcW w:w="3345" w:type="dxa"/>
            <w:gridSpan w:val="2"/>
            <w:vAlign w:val="center"/>
          </w:tcPr>
          <w:p>
            <w:pPr>
              <w:numPr>
                <w:ilvl w:val="0"/>
                <w:numId w:val="0"/>
              </w:numPr>
              <w:jc w:val="center"/>
              <w:rPr>
                <w:rFonts w:hint="eastAsia" w:asciiTheme="minorEastAsia" w:hAnsiTheme="minorEastAsia" w:eastAsiaTheme="minorEastAsia" w:cstheme="minorEastAsia"/>
                <w:b w:val="0"/>
                <w:bCs w:val="0"/>
                <w:sz w:val="24"/>
                <w:szCs w:val="24"/>
                <w:vertAlign w:val="baseline"/>
                <w:lang w:val="en-US" w:eastAsia="zh-CN"/>
              </w:rPr>
            </w:pPr>
          </w:p>
        </w:tc>
        <w:tc>
          <w:tcPr>
            <w:tcW w:w="1980" w:type="dxa"/>
            <w:vAlign w:val="center"/>
          </w:tcPr>
          <w:p>
            <w:pPr>
              <w:numPr>
                <w:ilvl w:val="0"/>
                <w:numId w:val="0"/>
              </w:numPr>
              <w:jc w:val="center"/>
              <w:rPr>
                <w:rFonts w:hint="default"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参会人数</w:t>
            </w:r>
          </w:p>
        </w:tc>
        <w:tc>
          <w:tcPr>
            <w:tcW w:w="3338" w:type="dxa"/>
            <w:gridSpan w:val="2"/>
            <w:vAlign w:val="center"/>
          </w:tcPr>
          <w:p>
            <w:pPr>
              <w:numPr>
                <w:ilvl w:val="0"/>
                <w:numId w:val="0"/>
              </w:numPr>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jc w:val="center"/>
        </w:trPr>
        <w:tc>
          <w:tcPr>
            <w:tcW w:w="2230" w:type="dxa"/>
            <w:vAlign w:val="center"/>
          </w:tcPr>
          <w:p>
            <w:pPr>
              <w:numPr>
                <w:ilvl w:val="0"/>
                <w:numId w:val="0"/>
              </w:num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拟邀请校内领导</w:t>
            </w:r>
          </w:p>
        </w:tc>
        <w:tc>
          <w:tcPr>
            <w:tcW w:w="3345" w:type="dxa"/>
            <w:gridSpan w:val="2"/>
            <w:vAlign w:val="center"/>
          </w:tcPr>
          <w:p>
            <w:pPr>
              <w:numPr>
                <w:ilvl w:val="0"/>
                <w:numId w:val="0"/>
              </w:numPr>
              <w:jc w:val="left"/>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1.XXX，职务职称，工作单位</w:t>
            </w:r>
          </w:p>
          <w:p>
            <w:pPr>
              <w:numPr>
                <w:ilvl w:val="0"/>
                <w:numId w:val="0"/>
              </w:numPr>
              <w:jc w:val="left"/>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w:t>
            </w:r>
          </w:p>
          <w:p>
            <w:pPr>
              <w:numPr>
                <w:ilvl w:val="0"/>
                <w:numId w:val="0"/>
              </w:numPr>
              <w:jc w:val="left"/>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3.</w:t>
            </w:r>
          </w:p>
          <w:p>
            <w:pPr>
              <w:numPr>
                <w:ilvl w:val="0"/>
                <w:numId w:val="0"/>
              </w:numPr>
              <w:jc w:val="both"/>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sz w:val="24"/>
                <w:szCs w:val="24"/>
                <w:vertAlign w:val="baseline"/>
                <w:lang w:val="en-US" w:eastAsia="zh-CN"/>
              </w:rPr>
              <w:t>......</w:t>
            </w:r>
          </w:p>
        </w:tc>
        <w:tc>
          <w:tcPr>
            <w:tcW w:w="1980" w:type="dxa"/>
            <w:vAlign w:val="center"/>
          </w:tcPr>
          <w:p>
            <w:pPr>
              <w:numPr>
                <w:ilvl w:val="0"/>
                <w:numId w:val="0"/>
              </w:num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拟邀请校外领导</w:t>
            </w:r>
          </w:p>
        </w:tc>
        <w:tc>
          <w:tcPr>
            <w:tcW w:w="3338" w:type="dxa"/>
            <w:gridSpan w:val="2"/>
            <w:vAlign w:val="center"/>
          </w:tcPr>
          <w:p>
            <w:pPr>
              <w:numPr>
                <w:ilvl w:val="0"/>
                <w:numId w:val="0"/>
              </w:numPr>
              <w:jc w:val="left"/>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1.XXX，职务职称，工作单位</w:t>
            </w:r>
          </w:p>
          <w:p>
            <w:pPr>
              <w:numPr>
                <w:ilvl w:val="0"/>
                <w:numId w:val="0"/>
              </w:numPr>
              <w:jc w:val="left"/>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w:t>
            </w:r>
          </w:p>
          <w:p>
            <w:pPr>
              <w:numPr>
                <w:ilvl w:val="0"/>
                <w:numId w:val="0"/>
              </w:numPr>
              <w:jc w:val="left"/>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3.</w:t>
            </w:r>
          </w:p>
          <w:p>
            <w:pPr>
              <w:numPr>
                <w:ilvl w:val="0"/>
                <w:numId w:val="0"/>
              </w:numPr>
              <w:jc w:val="both"/>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2230" w:type="dxa"/>
            <w:vAlign w:val="center"/>
          </w:tcPr>
          <w:p>
            <w:pPr>
              <w:numPr>
                <w:ilvl w:val="0"/>
                <w:numId w:val="0"/>
              </w:numPr>
              <w:jc w:val="center"/>
              <w:rPr>
                <w:rFonts w:hint="default"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会议经费来源说明</w:t>
            </w:r>
          </w:p>
        </w:tc>
        <w:tc>
          <w:tcPr>
            <w:tcW w:w="8663" w:type="dxa"/>
            <w:gridSpan w:val="5"/>
            <w:vAlign w:val="center"/>
          </w:tcPr>
          <w:p>
            <w:pPr>
              <w:numPr>
                <w:ilvl w:val="0"/>
                <w:numId w:val="0"/>
              </w:numPr>
              <w:jc w:val="left"/>
              <w:rPr>
                <w:rFonts w:hint="eastAsia" w:asciiTheme="minorEastAsia" w:hAnsiTheme="minorEastAsia" w:eastAsiaTheme="minorEastAsia" w:cstheme="minorEastAsia"/>
                <w:sz w:val="24"/>
                <w:szCs w:val="24"/>
                <w:vertAlign w:val="baseline"/>
                <w:lang w:val="en-US" w:eastAsia="zh-CN"/>
              </w:rPr>
            </w:pPr>
          </w:p>
          <w:p>
            <w:pPr>
              <w:numPr>
                <w:ilvl w:val="0"/>
                <w:numId w:val="0"/>
              </w:numPr>
              <w:jc w:val="left"/>
              <w:rPr>
                <w:rFonts w:hint="eastAsia" w:asciiTheme="minorEastAsia" w:hAnsiTheme="minorEastAsia" w:eastAsiaTheme="minorEastAsia" w:cstheme="minorEastAsia"/>
                <w:sz w:val="24"/>
                <w:szCs w:val="24"/>
                <w:vertAlign w:val="baseline"/>
                <w:lang w:val="en-US" w:eastAsia="zh-CN"/>
              </w:rPr>
            </w:pPr>
          </w:p>
          <w:p>
            <w:pPr>
              <w:numPr>
                <w:ilvl w:val="0"/>
                <w:numId w:val="0"/>
              </w:numPr>
              <w:jc w:val="left"/>
              <w:rPr>
                <w:rFonts w:hint="eastAsia" w:asciiTheme="minorEastAsia" w:hAnsiTheme="minorEastAsia" w:eastAsiaTheme="minorEastAsia" w:cstheme="minorEastAsia"/>
                <w:sz w:val="24"/>
                <w:szCs w:val="24"/>
                <w:vertAlign w:val="baseline"/>
                <w:lang w:val="en-US" w:eastAsia="zh-CN"/>
              </w:rPr>
            </w:pPr>
          </w:p>
          <w:p>
            <w:pPr>
              <w:numPr>
                <w:ilvl w:val="0"/>
                <w:numId w:val="0"/>
              </w:numPr>
              <w:jc w:val="left"/>
              <w:rPr>
                <w:rFonts w:hint="eastAsia" w:asciiTheme="minorEastAsia" w:hAnsiTheme="minorEastAsia" w:eastAsiaTheme="minorEastAsia" w:cstheme="minorEastAsia"/>
                <w:sz w:val="24"/>
                <w:szCs w:val="24"/>
                <w:vertAlign w:val="baseline"/>
                <w:lang w:val="en-US" w:eastAsia="zh-CN"/>
              </w:rPr>
            </w:pPr>
          </w:p>
          <w:p>
            <w:pPr>
              <w:numPr>
                <w:ilvl w:val="0"/>
                <w:numId w:val="0"/>
              </w:numPr>
              <w:jc w:val="left"/>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2230" w:type="dxa"/>
            <w:vAlign w:val="center"/>
          </w:tcPr>
          <w:p>
            <w:pPr>
              <w:numPr>
                <w:ilvl w:val="0"/>
                <w:numId w:val="0"/>
              </w:num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党组织意见</w:t>
            </w:r>
          </w:p>
        </w:tc>
        <w:tc>
          <w:tcPr>
            <w:tcW w:w="8663" w:type="dxa"/>
            <w:gridSpan w:val="5"/>
            <w:vAlign w:val="center"/>
          </w:tcPr>
          <w:p>
            <w:pPr>
              <w:numPr>
                <w:ilvl w:val="0"/>
                <w:numId w:val="0"/>
              </w:numPr>
              <w:jc w:val="both"/>
              <w:rPr>
                <w:rFonts w:hint="default"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2230" w:type="dxa"/>
            <w:vAlign w:val="center"/>
          </w:tcPr>
          <w:p>
            <w:pPr>
              <w:numPr>
                <w:ilvl w:val="0"/>
                <w:numId w:val="0"/>
              </w:num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党政联席会议意见</w:t>
            </w:r>
          </w:p>
        </w:tc>
        <w:tc>
          <w:tcPr>
            <w:tcW w:w="8663" w:type="dxa"/>
            <w:gridSpan w:val="5"/>
            <w:vAlign w:val="center"/>
          </w:tcPr>
          <w:p>
            <w:pPr>
              <w:numPr>
                <w:ilvl w:val="0"/>
                <w:numId w:val="0"/>
              </w:numPr>
              <w:jc w:val="both"/>
              <w:rPr>
                <w:rFonts w:hint="default" w:asciiTheme="minorEastAsia" w:hAnsiTheme="minorEastAsia" w:cstheme="minorEastAsia"/>
                <w:sz w:val="24"/>
                <w:szCs w:val="24"/>
                <w:vertAlign w:val="baseline"/>
                <w:lang w:val="en-US" w:eastAsia="zh-CN"/>
              </w:rPr>
            </w:pPr>
          </w:p>
          <w:p>
            <w:pPr>
              <w:numPr>
                <w:ilvl w:val="0"/>
                <w:numId w:val="0"/>
              </w:numPr>
              <w:jc w:val="both"/>
              <w:rPr>
                <w:rFonts w:hint="default" w:asciiTheme="minorEastAsia" w:hAnsiTheme="minorEastAsia" w:cstheme="minorEastAsia"/>
                <w:sz w:val="24"/>
                <w:szCs w:val="24"/>
                <w:vertAlign w:val="baseline"/>
                <w:lang w:val="en-US" w:eastAsia="zh-CN"/>
              </w:rPr>
            </w:pPr>
          </w:p>
          <w:p>
            <w:pPr>
              <w:numPr>
                <w:ilvl w:val="0"/>
                <w:numId w:val="0"/>
              </w:numPr>
              <w:jc w:val="both"/>
              <w:rPr>
                <w:rFonts w:hint="default" w:asciiTheme="minorEastAsia" w:hAnsiTheme="minorEastAsia" w:cstheme="minorEastAsia"/>
                <w:sz w:val="24"/>
                <w:szCs w:val="24"/>
                <w:vertAlign w:val="baseline"/>
                <w:lang w:val="en-US" w:eastAsia="zh-CN"/>
              </w:rPr>
            </w:pPr>
          </w:p>
        </w:tc>
      </w:tr>
    </w:tbl>
    <w:p>
      <w:pPr>
        <w:numPr>
          <w:ilvl w:val="0"/>
          <w:numId w:val="0"/>
        </w:numPr>
        <w:jc w:val="left"/>
        <w:rPr>
          <w:rFonts w:hint="eastAsia" w:ascii="方正小标宋简体" w:hAnsi="方正小标宋简体" w:eastAsia="方正小标宋简体" w:cs="方正小标宋简体"/>
          <w:sz w:val="32"/>
          <w:szCs w:val="32"/>
          <w:lang w:val="en-US" w:eastAsia="zh-CN"/>
        </w:rPr>
      </w:pPr>
    </w:p>
    <w:p>
      <w:pPr>
        <w:numPr>
          <w:ilvl w:val="0"/>
          <w:numId w:val="0"/>
        </w:num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表二：</w:t>
      </w:r>
    </w:p>
    <w:p>
      <w:pPr>
        <w:numPr>
          <w:ilvl w:val="0"/>
          <w:numId w:val="0"/>
        </w:numPr>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兰州大学法学院会务协助清单</w:t>
      </w:r>
    </w:p>
    <w:p>
      <w:pPr>
        <w:numPr>
          <w:ilvl w:val="0"/>
          <w:numId w:val="0"/>
        </w:num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一、会议信息</w:t>
      </w:r>
    </w:p>
    <w:p>
      <w:pPr>
        <w:numPr>
          <w:ilvl w:val="0"/>
          <w:numId w:val="0"/>
        </w:numPr>
        <w:jc w:val="lef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会议名称：</w:t>
      </w:r>
    </w:p>
    <w:p>
      <w:pPr>
        <w:numPr>
          <w:ilvl w:val="0"/>
          <w:numId w:val="0"/>
        </w:numPr>
        <w:jc w:val="lef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会议时间：</w:t>
      </w:r>
      <w:r>
        <w:rPr>
          <w:rFonts w:hint="eastAsia" w:ascii="方正仿宋_GB2312" w:hAnsi="方正仿宋_GB2312" w:eastAsia="方正仿宋_GB2312" w:cs="方正仿宋_GB2312"/>
          <w:sz w:val="32"/>
          <w:szCs w:val="32"/>
          <w:lang w:val="en-US" w:eastAsia="zh-CN"/>
        </w:rPr>
        <w:br w:type="textWrapping"/>
      </w:r>
      <w:r>
        <w:rPr>
          <w:rFonts w:hint="eastAsia" w:ascii="方正仿宋_GB2312" w:hAnsi="方正仿宋_GB2312" w:eastAsia="方正仿宋_GB2312" w:cs="方正仿宋_GB2312"/>
          <w:sz w:val="32"/>
          <w:szCs w:val="32"/>
          <w:lang w:val="en-US" w:eastAsia="zh-CN"/>
        </w:rPr>
        <w:t>会议地点：</w:t>
      </w:r>
    </w:p>
    <w:p>
      <w:pPr>
        <w:numPr>
          <w:ilvl w:val="0"/>
          <w:numId w:val="0"/>
        </w:numPr>
        <w:jc w:val="lef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参会人数：</w:t>
      </w:r>
    </w:p>
    <w:p>
      <w:pPr>
        <w:numPr>
          <w:ilvl w:val="0"/>
          <w:numId w:val="0"/>
        </w:num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二、会议需求</w:t>
      </w:r>
    </w:p>
    <w:p>
      <w:pPr>
        <w:numPr>
          <w:ilvl w:val="0"/>
          <w:numId w:val="0"/>
        </w:numPr>
        <w:jc w:val="lef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（一）如需学院预借校内会议室，请按下表提交材料：</w:t>
      </w:r>
    </w:p>
    <w:tbl>
      <w:tblPr>
        <w:tblStyle w:val="3"/>
        <w:tblW w:w="9915" w:type="dxa"/>
        <w:tblInd w:w="-7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8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5" w:type="dxa"/>
            <w:vAlign w:val="center"/>
          </w:tcPr>
          <w:p>
            <w:pPr>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序号</w:t>
            </w:r>
          </w:p>
        </w:tc>
        <w:tc>
          <w:tcPr>
            <w:tcW w:w="8910" w:type="dxa"/>
            <w:vAlign w:val="center"/>
          </w:tcPr>
          <w:p>
            <w:pPr>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材料提交清单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5" w:type="dxa"/>
            <w:vAlign w:val="center"/>
          </w:tcPr>
          <w:p>
            <w:pPr>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8910" w:type="dxa"/>
            <w:vAlign w:val="center"/>
          </w:tcPr>
          <w:p>
            <w:pPr>
              <w:numPr>
                <w:ilvl w:val="0"/>
                <w:numId w:val="0"/>
              </w:numPr>
              <w:ind w:left="0" w:leftChars="0" w:firstLine="0" w:firstLineChars="0"/>
              <w:jc w:val="both"/>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会议简介、</w:t>
            </w:r>
            <w:r>
              <w:rPr>
                <w:rFonts w:hint="eastAsia" w:asciiTheme="minorEastAsia" w:hAnsiTheme="minorEastAsia" w:cstheme="minorEastAsia"/>
                <w:sz w:val="24"/>
                <w:szCs w:val="24"/>
                <w:vertAlign w:val="baseline"/>
                <w:lang w:val="en-US" w:eastAsia="zh-CN"/>
              </w:rPr>
              <w:t>会议</w:t>
            </w:r>
            <w:r>
              <w:rPr>
                <w:rFonts w:hint="eastAsia" w:asciiTheme="minorEastAsia" w:hAnsiTheme="minorEastAsia" w:eastAsiaTheme="minorEastAsia" w:cstheme="minorEastAsia"/>
                <w:sz w:val="24"/>
                <w:szCs w:val="24"/>
                <w:vertAlign w:val="baseline"/>
                <w:lang w:val="en-US" w:eastAsia="zh-CN"/>
              </w:rPr>
              <w:t>安排、参会人员</w:t>
            </w:r>
            <w:r>
              <w:rPr>
                <w:rFonts w:hint="eastAsia" w:asciiTheme="minorEastAsia" w:hAnsiTheme="minorEastAsia" w:cstheme="minorEastAsia"/>
                <w:sz w:val="24"/>
                <w:szCs w:val="24"/>
                <w:vertAlign w:val="baseline"/>
                <w:lang w:val="en-US" w:eastAsia="zh-CN"/>
              </w:rPr>
              <w:t>信息、校内出席领导信息、校外出席领导信息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5" w:type="dxa"/>
            <w:vAlign w:val="center"/>
          </w:tcPr>
          <w:p>
            <w:pPr>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w:t>
            </w:r>
          </w:p>
        </w:tc>
        <w:tc>
          <w:tcPr>
            <w:tcW w:w="8910" w:type="dxa"/>
            <w:vAlign w:val="center"/>
          </w:tcPr>
          <w:p>
            <w:pPr>
              <w:numPr>
                <w:ilvl w:val="0"/>
                <w:numId w:val="0"/>
              </w:numPr>
              <w:ind w:left="0" w:leftChars="0" w:firstLine="0" w:firstLineChars="0"/>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已备案的</w:t>
            </w:r>
            <w:r>
              <w:rPr>
                <w:rFonts w:hint="eastAsia" w:asciiTheme="minorEastAsia" w:hAnsiTheme="minorEastAsia" w:eastAsiaTheme="minorEastAsia" w:cstheme="minorEastAsia"/>
                <w:sz w:val="24"/>
                <w:szCs w:val="24"/>
                <w:vertAlign w:val="baseline"/>
                <w:lang w:val="en-US" w:eastAsia="zh-CN"/>
              </w:rPr>
              <w:t>《 兰州大学形势报告会和哲学社会科学报告会等活动审批表》</w:t>
            </w:r>
          </w:p>
        </w:tc>
      </w:tr>
    </w:tbl>
    <w:p>
      <w:pPr>
        <w:numPr>
          <w:ilvl w:val="0"/>
          <w:numId w:val="0"/>
        </w:numPr>
        <w:jc w:val="lef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（二）如需学院提供相关会务用品，请填写品名、数量：</w:t>
      </w:r>
    </w:p>
    <w:tbl>
      <w:tblPr>
        <w:tblStyle w:val="3"/>
        <w:tblW w:w="9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4277"/>
        <w:gridCol w:w="1436"/>
        <w:gridCol w:w="3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6" w:type="dxa"/>
            <w:vAlign w:val="center"/>
          </w:tcPr>
          <w:p>
            <w:pPr>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序号</w:t>
            </w:r>
          </w:p>
        </w:tc>
        <w:tc>
          <w:tcPr>
            <w:tcW w:w="4277" w:type="dxa"/>
            <w:vAlign w:val="center"/>
          </w:tcPr>
          <w:p>
            <w:pPr>
              <w:numPr>
                <w:ilvl w:val="0"/>
                <w:numId w:val="0"/>
              </w:numPr>
              <w:ind w:left="0" w:leftChars="0" w:firstLine="0" w:firstLineChars="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品名</w:t>
            </w:r>
          </w:p>
        </w:tc>
        <w:tc>
          <w:tcPr>
            <w:tcW w:w="1436" w:type="dxa"/>
            <w:vAlign w:val="center"/>
          </w:tcPr>
          <w:p>
            <w:pPr>
              <w:numPr>
                <w:ilvl w:val="0"/>
                <w:numId w:val="0"/>
              </w:numPr>
              <w:ind w:left="0" w:leftChars="0" w:firstLine="0" w:firstLineChars="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数量</w:t>
            </w:r>
          </w:p>
        </w:tc>
        <w:tc>
          <w:tcPr>
            <w:tcW w:w="3207" w:type="dxa"/>
            <w:vAlign w:val="center"/>
          </w:tcPr>
          <w:p>
            <w:pPr>
              <w:numPr>
                <w:ilvl w:val="0"/>
                <w:numId w:val="0"/>
              </w:numPr>
              <w:ind w:left="0" w:leftChars="0" w:firstLine="0" w:firstLineChars="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办理</w:t>
            </w:r>
            <w:r>
              <w:rPr>
                <w:rFonts w:hint="eastAsia" w:asciiTheme="minorEastAsia" w:hAnsiTheme="minorEastAsia" w:eastAsiaTheme="minorEastAsia" w:cstheme="minorEastAsia"/>
                <w:sz w:val="24"/>
                <w:szCs w:val="24"/>
                <w:vertAlign w:val="baseline"/>
                <w:lang w:val="en-US" w:eastAsia="zh-CN"/>
              </w:rPr>
              <w:t>意见（此栏由学院填写）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6" w:type="dxa"/>
            <w:vAlign w:val="center"/>
          </w:tcPr>
          <w:p>
            <w:pPr>
              <w:numPr>
                <w:ilvl w:val="0"/>
                <w:numId w:val="0"/>
              </w:numPr>
              <w:jc w:val="center"/>
              <w:rPr>
                <w:rFonts w:hint="default"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1</w:t>
            </w:r>
          </w:p>
        </w:tc>
        <w:tc>
          <w:tcPr>
            <w:tcW w:w="4277" w:type="dxa"/>
            <w:vAlign w:val="center"/>
          </w:tcPr>
          <w:p>
            <w:pPr>
              <w:numPr>
                <w:ilvl w:val="0"/>
                <w:numId w:val="0"/>
              </w:numPr>
              <w:ind w:left="0" w:leftChars="0" w:firstLine="0" w:firstLineChars="0"/>
              <w:jc w:val="center"/>
              <w:rPr>
                <w:rFonts w:hint="default"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FF0000"/>
                <w:sz w:val="24"/>
                <w:szCs w:val="24"/>
                <w:vertAlign w:val="baseline"/>
                <w:lang w:val="en-US" w:eastAsia="zh-CN"/>
              </w:rPr>
              <w:t>例如：纸杯</w:t>
            </w:r>
          </w:p>
        </w:tc>
        <w:tc>
          <w:tcPr>
            <w:tcW w:w="1436" w:type="dxa"/>
            <w:vAlign w:val="center"/>
          </w:tcPr>
          <w:p>
            <w:pPr>
              <w:numPr>
                <w:ilvl w:val="0"/>
                <w:numId w:val="0"/>
              </w:numPr>
              <w:ind w:left="0" w:leftChars="0" w:firstLine="0" w:firstLineChars="0"/>
              <w:jc w:val="center"/>
              <w:rPr>
                <w:rFonts w:hint="default" w:asciiTheme="minorEastAsia" w:hAnsiTheme="minorEastAsia" w:eastAsiaTheme="minorEastAsia" w:cstheme="minorEastAsia"/>
                <w:color w:val="FF0000"/>
                <w:sz w:val="24"/>
                <w:szCs w:val="24"/>
                <w:vertAlign w:val="baseline"/>
                <w:lang w:val="en-US" w:eastAsia="zh-CN"/>
              </w:rPr>
            </w:pPr>
          </w:p>
        </w:tc>
        <w:tc>
          <w:tcPr>
            <w:tcW w:w="3207" w:type="dxa"/>
            <w:vAlign w:val="center"/>
          </w:tcPr>
          <w:p>
            <w:pPr>
              <w:numPr>
                <w:ilvl w:val="0"/>
                <w:numId w:val="0"/>
              </w:numPr>
              <w:ind w:left="0" w:leftChars="0" w:firstLine="0" w:firstLineChars="0"/>
              <w:jc w:val="center"/>
              <w:rPr>
                <w:rFonts w:hint="eastAsia" w:asciiTheme="minorEastAsia" w:hAnsiTheme="minorEastAsia" w:eastAsiaTheme="minorEastAsia" w:cstheme="minorEastAsia"/>
                <w:color w:val="FF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6" w:type="dxa"/>
            <w:vAlign w:val="center"/>
          </w:tcPr>
          <w:p>
            <w:pPr>
              <w:numPr>
                <w:ilvl w:val="0"/>
                <w:numId w:val="0"/>
              </w:numPr>
              <w:jc w:val="center"/>
              <w:rPr>
                <w:rFonts w:hint="default" w:asciiTheme="minorEastAsia" w:hAnsiTheme="minorEastAsia" w:eastAsiaTheme="minorEastAsia" w:cstheme="minorEastAsia"/>
                <w:color w:val="000000" w:themeColor="text1"/>
                <w:sz w:val="24"/>
                <w:szCs w:val="24"/>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4"/>
                <w:szCs w:val="24"/>
                <w:vertAlign w:val="baseline"/>
                <w:lang w:val="en-US" w:eastAsia="zh-CN"/>
                <w14:textFill>
                  <w14:solidFill>
                    <w14:schemeClr w14:val="tx1"/>
                  </w14:solidFill>
                </w14:textFill>
              </w:rPr>
              <w:t>2</w:t>
            </w:r>
          </w:p>
        </w:tc>
        <w:tc>
          <w:tcPr>
            <w:tcW w:w="4277" w:type="dxa"/>
            <w:vAlign w:val="center"/>
          </w:tcPr>
          <w:p>
            <w:pPr>
              <w:numPr>
                <w:ilvl w:val="0"/>
                <w:numId w:val="0"/>
              </w:numPr>
              <w:ind w:left="0" w:leftChars="0" w:firstLine="0" w:firstLineChars="0"/>
              <w:jc w:val="center"/>
              <w:rPr>
                <w:rFonts w:hint="default" w:asciiTheme="minorEastAsia" w:hAnsiTheme="minorEastAsia" w:cstheme="minorEastAsia"/>
                <w:color w:val="000000" w:themeColor="text1"/>
                <w:sz w:val="24"/>
                <w:szCs w:val="24"/>
                <w:vertAlign w:val="baseline"/>
                <w:lang w:val="en-US" w:eastAsia="zh-CN"/>
                <w14:textFill>
                  <w14:solidFill>
                    <w14:schemeClr w14:val="tx1"/>
                  </w14:solidFill>
                </w14:textFill>
              </w:rPr>
            </w:pPr>
          </w:p>
        </w:tc>
        <w:tc>
          <w:tcPr>
            <w:tcW w:w="1436" w:type="dxa"/>
            <w:vAlign w:val="center"/>
          </w:tcPr>
          <w:p>
            <w:pPr>
              <w:numPr>
                <w:ilvl w:val="0"/>
                <w:numId w:val="0"/>
              </w:numPr>
              <w:ind w:left="0" w:leftChars="0" w:firstLine="0" w:firstLineChars="0"/>
              <w:jc w:val="center"/>
              <w:rPr>
                <w:rFonts w:hint="default" w:asciiTheme="minorEastAsia" w:hAnsiTheme="minorEastAsia" w:eastAsiaTheme="minorEastAsia" w:cstheme="minorEastAsia"/>
                <w:color w:val="FF0000"/>
                <w:sz w:val="24"/>
                <w:szCs w:val="24"/>
                <w:vertAlign w:val="baseline"/>
                <w:lang w:val="en-US" w:eastAsia="zh-CN"/>
              </w:rPr>
            </w:pPr>
          </w:p>
        </w:tc>
        <w:tc>
          <w:tcPr>
            <w:tcW w:w="3207" w:type="dxa"/>
            <w:vAlign w:val="center"/>
          </w:tcPr>
          <w:p>
            <w:pPr>
              <w:numPr>
                <w:ilvl w:val="0"/>
                <w:numId w:val="0"/>
              </w:numPr>
              <w:ind w:left="0" w:leftChars="0" w:firstLine="0" w:firstLineChars="0"/>
              <w:jc w:val="center"/>
              <w:rPr>
                <w:rFonts w:hint="eastAsia" w:asciiTheme="minorEastAsia" w:hAnsiTheme="minorEastAsia" w:eastAsiaTheme="minorEastAsia" w:cstheme="minorEastAsia"/>
                <w:color w:val="FF0000"/>
                <w:sz w:val="24"/>
                <w:szCs w:val="24"/>
                <w:vertAlign w:val="baseline"/>
                <w:lang w:val="en-US" w:eastAsia="zh-CN"/>
              </w:rPr>
            </w:pPr>
          </w:p>
        </w:tc>
      </w:tr>
    </w:tbl>
    <w:p>
      <w:pPr>
        <w:numPr>
          <w:ilvl w:val="0"/>
          <w:numId w:val="1"/>
        </w:numPr>
        <w:jc w:val="lef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其他会务需求</w:t>
      </w:r>
    </w:p>
    <w:tbl>
      <w:tblPr>
        <w:tblStyle w:val="3"/>
        <w:tblW w:w="9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5723"/>
        <w:gridCol w:w="3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Align w:val="center"/>
          </w:tcPr>
          <w:p>
            <w:pPr>
              <w:numPr>
                <w:ilvl w:val="0"/>
                <w:numId w:val="0"/>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序号</w:t>
            </w:r>
          </w:p>
        </w:tc>
        <w:tc>
          <w:tcPr>
            <w:tcW w:w="5723" w:type="dxa"/>
            <w:vAlign w:val="center"/>
          </w:tcPr>
          <w:p>
            <w:pPr>
              <w:numPr>
                <w:ilvl w:val="0"/>
                <w:numId w:val="0"/>
              </w:numPr>
              <w:ind w:left="0" w:leftChars="0" w:firstLine="0" w:firstLineChars="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事项</w:t>
            </w:r>
          </w:p>
        </w:tc>
        <w:tc>
          <w:tcPr>
            <w:tcW w:w="3178" w:type="dxa"/>
            <w:vAlign w:val="center"/>
          </w:tcPr>
          <w:p>
            <w:pPr>
              <w:numPr>
                <w:ilvl w:val="0"/>
                <w:numId w:val="0"/>
              </w:numPr>
              <w:ind w:left="0" w:leftChars="0" w:firstLine="0" w:firstLineChars="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办理</w:t>
            </w:r>
            <w:r>
              <w:rPr>
                <w:rFonts w:hint="eastAsia" w:asciiTheme="minorEastAsia" w:hAnsiTheme="minorEastAsia" w:eastAsiaTheme="minorEastAsia" w:cstheme="minorEastAsia"/>
                <w:sz w:val="24"/>
                <w:szCs w:val="24"/>
                <w:vertAlign w:val="baseline"/>
                <w:lang w:val="en-US" w:eastAsia="zh-CN"/>
              </w:rPr>
              <w:t>意见（此栏由学院填写）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Align w:val="center"/>
          </w:tcPr>
          <w:p>
            <w:pPr>
              <w:numPr>
                <w:ilvl w:val="0"/>
                <w:numId w:val="0"/>
              </w:numPr>
              <w:jc w:val="center"/>
              <w:rPr>
                <w:rFonts w:hint="default"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cstheme="minorEastAsia"/>
                <w:color w:val="auto"/>
                <w:sz w:val="24"/>
                <w:szCs w:val="24"/>
                <w:vertAlign w:val="baseline"/>
                <w:lang w:val="en-US" w:eastAsia="zh-CN"/>
              </w:rPr>
              <w:t>1</w:t>
            </w:r>
          </w:p>
        </w:tc>
        <w:tc>
          <w:tcPr>
            <w:tcW w:w="5723" w:type="dxa"/>
            <w:vAlign w:val="center"/>
          </w:tcPr>
          <w:p>
            <w:pPr>
              <w:numPr>
                <w:ilvl w:val="0"/>
                <w:numId w:val="0"/>
              </w:numPr>
              <w:ind w:left="0" w:leftChars="0" w:firstLine="0" w:firstLineChars="0"/>
              <w:jc w:val="left"/>
              <w:rPr>
                <w:rFonts w:hint="default" w:asciiTheme="minorEastAsia" w:hAnsiTheme="minorEastAsia" w:eastAsiaTheme="minorEastAsia" w:cstheme="minorEastAsia"/>
                <w:color w:val="FF0000"/>
                <w:sz w:val="24"/>
                <w:szCs w:val="24"/>
                <w:vertAlign w:val="baseline"/>
                <w:lang w:val="en-US" w:eastAsia="zh-CN"/>
              </w:rPr>
            </w:pPr>
            <w:r>
              <w:rPr>
                <w:rFonts w:hint="eastAsia" w:asciiTheme="minorEastAsia" w:hAnsiTheme="minorEastAsia" w:cstheme="minorEastAsia"/>
                <w:color w:val="FF0000"/>
                <w:sz w:val="24"/>
                <w:szCs w:val="24"/>
                <w:vertAlign w:val="baseline"/>
                <w:lang w:val="en-US" w:eastAsia="zh-CN"/>
              </w:rPr>
              <w:t>......</w:t>
            </w:r>
          </w:p>
        </w:tc>
        <w:tc>
          <w:tcPr>
            <w:tcW w:w="3178" w:type="dxa"/>
            <w:vAlign w:val="center"/>
          </w:tcPr>
          <w:p>
            <w:pPr>
              <w:numPr>
                <w:ilvl w:val="0"/>
                <w:numId w:val="0"/>
              </w:numPr>
              <w:ind w:left="0" w:leftChars="0" w:firstLine="0" w:firstLineChars="0"/>
              <w:jc w:val="center"/>
              <w:rPr>
                <w:rFonts w:hint="eastAsia" w:asciiTheme="minorEastAsia" w:hAnsiTheme="minorEastAsia" w:eastAsiaTheme="minorEastAsia" w:cstheme="minorEastAsia"/>
                <w:color w:val="FF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7" w:type="dxa"/>
            <w:vAlign w:val="center"/>
          </w:tcPr>
          <w:p>
            <w:pPr>
              <w:numPr>
                <w:ilvl w:val="0"/>
                <w:numId w:val="0"/>
              </w:numPr>
              <w:jc w:val="center"/>
              <w:rPr>
                <w:rFonts w:hint="default" w:asciiTheme="minorEastAsia" w:hAnsiTheme="minorEastAsia" w:cstheme="minorEastAsia"/>
                <w:color w:val="auto"/>
                <w:sz w:val="24"/>
                <w:szCs w:val="24"/>
                <w:vertAlign w:val="baseline"/>
                <w:lang w:val="en-US" w:eastAsia="zh-CN"/>
              </w:rPr>
            </w:pPr>
            <w:r>
              <w:rPr>
                <w:rFonts w:hint="eastAsia" w:asciiTheme="minorEastAsia" w:hAnsiTheme="minorEastAsia" w:cstheme="minorEastAsia"/>
                <w:color w:val="auto"/>
                <w:sz w:val="24"/>
                <w:szCs w:val="24"/>
                <w:vertAlign w:val="baseline"/>
                <w:lang w:val="en-US" w:eastAsia="zh-CN"/>
              </w:rPr>
              <w:t>2</w:t>
            </w:r>
          </w:p>
        </w:tc>
        <w:tc>
          <w:tcPr>
            <w:tcW w:w="5723" w:type="dxa"/>
            <w:vAlign w:val="center"/>
          </w:tcPr>
          <w:p>
            <w:pPr>
              <w:numPr>
                <w:ilvl w:val="0"/>
                <w:numId w:val="0"/>
              </w:numPr>
              <w:ind w:left="0" w:leftChars="0" w:firstLine="0" w:firstLineChars="0"/>
              <w:jc w:val="left"/>
              <w:rPr>
                <w:rFonts w:hint="default" w:asciiTheme="minorEastAsia" w:hAnsiTheme="minorEastAsia" w:cstheme="minorEastAsia"/>
                <w:color w:val="FF0000"/>
                <w:sz w:val="24"/>
                <w:szCs w:val="24"/>
                <w:vertAlign w:val="baseline"/>
                <w:lang w:val="en-US" w:eastAsia="zh-CN"/>
              </w:rPr>
            </w:pPr>
            <w:r>
              <w:rPr>
                <w:rFonts w:hint="eastAsia" w:asciiTheme="minorEastAsia" w:hAnsiTheme="minorEastAsia" w:cstheme="minorEastAsia"/>
                <w:color w:val="FF0000"/>
                <w:sz w:val="24"/>
                <w:szCs w:val="24"/>
                <w:vertAlign w:val="baseline"/>
                <w:lang w:val="en-US" w:eastAsia="zh-CN"/>
              </w:rPr>
              <w:t>......</w:t>
            </w:r>
          </w:p>
        </w:tc>
        <w:tc>
          <w:tcPr>
            <w:tcW w:w="3178" w:type="dxa"/>
            <w:vAlign w:val="center"/>
          </w:tcPr>
          <w:p>
            <w:pPr>
              <w:numPr>
                <w:ilvl w:val="0"/>
                <w:numId w:val="0"/>
              </w:numPr>
              <w:ind w:left="0" w:leftChars="0" w:firstLine="0" w:firstLineChars="0"/>
              <w:jc w:val="center"/>
              <w:rPr>
                <w:rFonts w:hint="eastAsia" w:asciiTheme="minorEastAsia" w:hAnsiTheme="minorEastAsia" w:eastAsiaTheme="minorEastAsia" w:cstheme="minorEastAsia"/>
                <w:color w:val="FF0000"/>
                <w:sz w:val="24"/>
                <w:szCs w:val="24"/>
                <w:vertAlign w:val="baseline"/>
                <w:lang w:val="en-US" w:eastAsia="zh-CN"/>
              </w:rPr>
            </w:pPr>
          </w:p>
        </w:tc>
      </w:tr>
    </w:tbl>
    <w:p>
      <w:pPr>
        <w:jc w:val="both"/>
        <w:rPr>
          <w:rFonts w:hint="default" w:ascii="方正仿宋_GB2312" w:hAnsi="方正仿宋_GB2312" w:eastAsia="方正仿宋_GB2312" w:cs="方正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2446EE6-C6C5-4669-8818-05B4FDFDFDA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2DAE88FD-7D84-42A8-837B-80F95CBA31CC}"/>
  </w:font>
  <w:font w:name="方正仿宋_GB2312">
    <w:panose1 w:val="02000000000000000000"/>
    <w:charset w:val="86"/>
    <w:family w:val="auto"/>
    <w:pitch w:val="default"/>
    <w:sig w:usb0="A00002BF" w:usb1="184F6CFA" w:usb2="00000012" w:usb3="00000000" w:csb0="00040001" w:csb1="00000000"/>
    <w:embedRegular r:id="rId3" w:fontKey="{F5A80EC1-C5B1-4E12-82E7-82E45B1437C1}"/>
  </w:font>
  <w:font w:name="方正小标宋简体">
    <w:panose1 w:val="02000000000000000000"/>
    <w:charset w:val="86"/>
    <w:family w:val="auto"/>
    <w:pitch w:val="default"/>
    <w:sig w:usb0="A00002BF" w:usb1="184F6CFA" w:usb2="00000012" w:usb3="00000000" w:csb0="00040001" w:csb1="00000000"/>
    <w:embedRegular r:id="rId4" w:fontKey="{304C790F-6F99-40C1-A3C9-867CC20E163C}"/>
  </w:font>
  <w:font w:name="仿宋">
    <w:panose1 w:val="02010609060101010101"/>
    <w:charset w:val="86"/>
    <w:family w:val="auto"/>
    <w:pitch w:val="default"/>
    <w:sig w:usb0="800002BF" w:usb1="38CF7CFA" w:usb2="00000016" w:usb3="00000000" w:csb0="00040001" w:csb1="00000000"/>
    <w:embedRegular r:id="rId5" w:fontKey="{A7482147-2AA6-4CE1-802E-7210A60A7B0B}"/>
  </w:font>
  <w:font w:name="方正仿宋_GBK">
    <w:panose1 w:val="02000000000000000000"/>
    <w:charset w:val="86"/>
    <w:family w:val="auto"/>
    <w:pitch w:val="default"/>
    <w:sig w:usb0="A00002BF" w:usb1="38CF7CFA" w:usb2="00082016" w:usb3="00000000" w:csb0="00040001" w:csb1="00000000"/>
    <w:embedRegular r:id="rId6" w:fontKey="{4B353ED9-2AB0-4567-B407-7A1775F2E83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3FD2E9"/>
    <w:multiLevelType w:val="singleLevel"/>
    <w:tmpl w:val="D23FD2E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MGM5MzkyYTY3YTUyMTM5NGE1NTM1OTRkZTc3NGIifQ=="/>
  </w:docVars>
  <w:rsids>
    <w:rsidRoot w:val="7EB93967"/>
    <w:rsid w:val="013B4D07"/>
    <w:rsid w:val="043164D2"/>
    <w:rsid w:val="0E3E5A73"/>
    <w:rsid w:val="157F303F"/>
    <w:rsid w:val="17EF7DDE"/>
    <w:rsid w:val="18570E8C"/>
    <w:rsid w:val="194D5F2F"/>
    <w:rsid w:val="1D2828BF"/>
    <w:rsid w:val="1EB37DB8"/>
    <w:rsid w:val="200A72B4"/>
    <w:rsid w:val="21A53343"/>
    <w:rsid w:val="229B4DEB"/>
    <w:rsid w:val="2751016E"/>
    <w:rsid w:val="2910538D"/>
    <w:rsid w:val="293602C2"/>
    <w:rsid w:val="2E6609A2"/>
    <w:rsid w:val="2F951192"/>
    <w:rsid w:val="339B7340"/>
    <w:rsid w:val="38A02D03"/>
    <w:rsid w:val="38C74FF5"/>
    <w:rsid w:val="3E111FAD"/>
    <w:rsid w:val="3E1B5ECA"/>
    <w:rsid w:val="431654CA"/>
    <w:rsid w:val="459C7C00"/>
    <w:rsid w:val="4BF076A6"/>
    <w:rsid w:val="4F8F406D"/>
    <w:rsid w:val="50841226"/>
    <w:rsid w:val="50E379FE"/>
    <w:rsid w:val="51EE4687"/>
    <w:rsid w:val="535624E4"/>
    <w:rsid w:val="594410E7"/>
    <w:rsid w:val="61D76EE6"/>
    <w:rsid w:val="66B75538"/>
    <w:rsid w:val="68B02C28"/>
    <w:rsid w:val="717B4B7D"/>
    <w:rsid w:val="7708567D"/>
    <w:rsid w:val="79A853AC"/>
    <w:rsid w:val="7B3665D4"/>
    <w:rsid w:val="7C266966"/>
    <w:rsid w:val="7CAB1522"/>
    <w:rsid w:val="7D3B4375"/>
    <w:rsid w:val="7EB93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1399</Words>
  <Characters>1445</Characters>
  <Lines>0</Lines>
  <Paragraphs>0</Paragraphs>
  <TotalTime>0</TotalTime>
  <ScaleCrop>false</ScaleCrop>
  <LinksUpToDate>false</LinksUpToDate>
  <CharactersWithSpaces>1452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2024-04-09T01:20:00Z</dcterms:created>
  <dc:creator>图南</dc:creator>
  <cp:lastModifiedBy>图南</cp:lastModifiedBy>
  <dcterms:modified xsi:type="dcterms:W3CDTF">2024-06-17T03:08:22Z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E23FD240BAD6408A9B54879735540C3C_11</vt:lpwstr>
  </property>
</Properties>
</file>